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A3" w:rsidRPr="005F0EA3" w:rsidRDefault="005F0EA3" w:rsidP="005F0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Социально-экономическое состояние регионов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перспективы их развития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 подготовлен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Академией управления при Президенте Республики Беларусь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Инфографика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данным материалам разработана Белорусским телеграфным агентством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размещена на его сайте в разделе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Инфографика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hyperlink r:id="rId5" w:history="1">
        <w:r w:rsidRPr="005F0EA3">
          <w:rPr>
            <w:rFonts w:ascii="Times New Roman" w:eastAsia="Times New Roman" w:hAnsi="Times New Roman" w:cs="Times New Roman"/>
            <w:i/>
            <w:iCs/>
            <w:color w:val="053F5B"/>
            <w:sz w:val="28"/>
            <w:szCs w:val="28"/>
            <w:u w:val="single"/>
            <w:lang w:eastAsia="ru-RU"/>
          </w:rPr>
          <w:t>https://www.belta.by/infographica/</w:t>
        </w:r>
      </w:hyperlink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отдаленных районных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центров.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Фундамент успешного развития государства – сильная экономика,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поэтому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прежде всего необходимо развивать экономику регионов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создавать там рабочие места с достойным уровнем зарплаты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И Беларус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однозначно преуспела в данном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степени развития регионов и стран осуществляется с помощью ряда универсальных интегральных показателей, один из которых –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Индекс человеческого развития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ОО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По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 достижения странами Целей устойчивого развития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республика находится на 23 месте (77,4 балла из 100), что выше средней оценки по региону Восточной Европы и Центральной Азии. 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общем рейтинге национального благосостояния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 год Беларусь расположилась на 73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(из 167 стран). Страна также занимает высокие позиции по уровню образования (32 место) и уровню условий жизни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(45 место).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 таких результатов было бы невозможно без слаженной и четкой работы всех органов государственной власти по исполнению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прогнозных и программных документов на республиканском и региональном уровнях.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Применительно к 2020 году к таковым относятся: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Республики Беларусь от 31 октября 2019 г. №401 «О параметрах прогноза социально-экономического развития Республики Беларусь на 2020 год;</w:t>
      </w:r>
    </w:p>
    <w:p w:rsidR="005F0EA3" w:rsidRPr="005F0EA3" w:rsidRDefault="005F0EA3" w:rsidP="005F0E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Совета Министров Республики Беларусь от 27 декабря 2019 г. №921 «О задачах социально-экономического развития Республики Беларусь на 2020 год»;</w:t>
      </w:r>
    </w:p>
    <w:p w:rsidR="005F0EA3" w:rsidRPr="005F0EA3" w:rsidRDefault="005F0EA3" w:rsidP="005F0E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социально-экономического развития Республики Беларусь, утверждаемая Главой государства;</w:t>
      </w:r>
    </w:p>
    <w:p w:rsidR="005F0EA3" w:rsidRPr="005F0EA3" w:rsidRDefault="005F0EA3" w:rsidP="005F0E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</w:t>
      </w:r>
    </w:p>
    <w:p w:rsidR="005F0EA3" w:rsidRPr="005F0EA3" w:rsidRDefault="005F0EA3" w:rsidP="005F0E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социально-экономического развития на пятилетку, разрабатываемые на уровне областей,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инска, районов и городов областного подчинения.</w:t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мероприятий государственных программ на пятилетний период, финансируемых за счет средств местных бюджетов, на уровне областей,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Минска, районов и городов областного подчинения формируются региональные комплексы мероприятий.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социально-экономического развития на очередной год раскрываются через планы развития каждой из указанных территорий.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ряд системных документов программного и планового характера разработан на региональном уровне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исполнение поручений Главы государства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Так, утверждены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Программа развития </w:t>
      </w:r>
      <w:proofErr w:type="spell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Оршанского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на период до 2023 года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(Указ Президента Республики Беларусь от 31 декабря 2018 г. № 506) 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мер по ее реализации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(постановление Совета Министров Республики Беларусь от 28 января 2019 г. № 58).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выполнения поручения Главы государства по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ускоренному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социально-экономическому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развитию 11 городов с численностью населения свыше 80 тыс. человек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разработаны и приняты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Комплексные планы ускоренного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данных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период до 2020 года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Мозырского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Лидского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Борисовского,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Молодечненского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Солигорского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районов.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исленности занятого                           в экономике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населения.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позволяет формировать новые точки роста в регионах и создавать условия для их дальнейшего социально-экономического развития.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Социально-экономическое состояние регионов в 2019 году</w:t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половины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ВВП страны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(52,9%) формируют 3 региона: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Удельный вес Брестской области в ВВП – 9,4%, Витебской – 7,5%, Гродненск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ой – 8,2%, Могилевской –  6,9%, 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15,1% – нераспределенная часть ВВП.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обусловлено сложившейся структурой экономики регионов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динамикой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валового регионального продукта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(далее – ВРП).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2019 года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 ВРП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достигнут в Минской области (104,4%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2018 году), Брестской области (102,8%),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инске (101,2%) и Могилевской области (100,5%). В Витебской и Гомельской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областях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ВРП сложился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уровне предыдущего года, в Гродненской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 допущено падение ВРП до 99,6% к 2018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многом такая ситуация обусловлена влиянием внешних факторов –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горнодобыче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падения мировых цен на сырьевые ресурсы, усиления конкуренции на основных рынках сбыта.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доля ВРП формируется предприятиями промышленного комплекса.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Промышленность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отрасль народного хозяйства находится под пристальным вниманием Президента Республики Беларусь. Только с начала 2020 года А.Г.Лукашенко побывал с рабочими визитами в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.Ш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клове, г.Добруше, г.Светлогорске.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республиканском разделении труда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основными индустриальными регионами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 Гомельская (за 2019 год – 20,6% объема промышленного производства страны), Минская (19,6%), Витебская (14,3%) области и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 (15,4%). На долю остальных регионов (Брестской, Гродненской и Могилевской областей) приход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ится 30,1% объема промышленного производства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видом деятельности является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обрабатывающая промышленность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формирует от 15,1% ВРП в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до 40,6% – в Минской области. В 2019 году отрасль внесла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положительный вклад в ВРП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всех регионах, кроме Витебской области («минус» 0,5%) и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(«минус» 0,1%), чему способствовало создание условий для эффективного развития предприятий, глубоко перерабатывающих отечественное сырье.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прошлого года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положительное влияние на формирование ВРП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Брестской, Гомельской, Гродненской, Минской областях и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оказали предприятия по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производству продуктов питания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напитков и табачных изделий. Увеличение производства товаров на основе отечественного сырья углубленной переработки обеспечило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 выпуска продукции из дерева и бумаги во всех регионах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(кроме Могилевской области). Кроме того, во всех областях положительное влияние на ВРП оказало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производство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резиновых и пластмассовых изделий,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прочих неметаллических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минеральных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продуктов.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следует отметить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высокие темпы роста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монтаже машин и оборудования (Гомельская 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гилевская области),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металлургии (Минская и Могилевская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Вниманию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выступающих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в 2019 году отмечается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рост промышленного производства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4 областях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 2019 год индекс промышленного производств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составил: в Витебской области – 99,3% к 2018 году, 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инске –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99,7%.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Сельское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хозяйство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Сельскому хозяйству Республики Беларусь руководством страны уделяется не меньшее внимание. Как отметил А.Г.Лукашенко: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Сельское, лесное и рыбное хозяйство представлено в экономике всех областей республики и формирует от 9,7%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РП в Минской области до 14,3% – в Брестской области (в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6,8%).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 2019 год доля сельского, лесного и рыбного хозяйства в ВРП Витебской области составила 11,8%, Гомельской – 10%, 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родненской – 13,6%, Могилевской –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12,2%.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производители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сельскохозяйственной продукции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стране – хозяйства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Минской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(24,8% республиканского объема),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Брестской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(19,4%) 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Гродненской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(16,6%)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Лидером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производству (выращиванию)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скота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птицы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Минская область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итогам 2019 года сельскохозяйственными организациями региона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изведено 28,9% республиканского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Минская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Брестская области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лидерами в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производстве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молока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их долю по итогам 2019 года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иходится 49,6% республиканского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высокие результаты в животноводстве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достигнуты 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Брестской области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производство этой продукции в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сельхозорганизациях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сельхозорганизаци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Минской (на 2,8%        к 2018 году) и Гродненской (на 0,9%)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личие высокопродуктивных земель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Брестской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Гродненской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Минской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областях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создает условия для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опережающего развития растениеводства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итогам 2019 года в этих 3 регионах произведено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67,5% валового сбора картофеля, 63,1% – зерновых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зернобобовых культур, 57,9% –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принятых мер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итогам за прошедший год производство продукции сельского хозяйства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увеличилось во всех областях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Гомельской. «Год был хороший. Не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идеальный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хороший», – отметил Глава государства.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Жилищное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строительство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введено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4 061,9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кв.м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жилья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(102,4% к 2018 году). Наибольшие объемы жилья введены в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Брестской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(16,9% к республиканскому объему) и Минской (31,1%) 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государственной поддержкой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республике введено в эксплуатацию 1 165 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кв.м жилья (116,6% к 2018 году); в наибольших объемах – в Брестской (24,8%), Минской (18,4%) и Гомельской (15,9%) 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Индивидуальных жилых домов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прошлый год введено в эксплуатацию 1 770,9 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кв.м (102,5% к 2018 году). Наибольшие объемы такого жилья также введены в Минской (44,6%),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Брестской (18,3%) и Гомельской (11,6%)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это способствовало улучшению жилищных условий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в первую очередь многодетных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Торговля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итогам 2019 года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оптовая и розничная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торговля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основном это обусловлено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наращиванием объемов розничного товарооборота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ения, использованием механизмов потребительского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кредитования.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2019 году в стране было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введено в эксплуатацию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87 торговых объектов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в том числе в Брестской области – 19 объектов, Витебской – 16, Гомельской – 19, Гродненской – 11, Минской – 10, Могилевской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области – 10 объектов, 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инске –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розничного товарооборота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страны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наибольшая доля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приходится на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инск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(31,2%). За ним следуют Минская (14,9%), Брестская (12,4%) и Гомельская (11,7%) области. Удельный вес Витебской области – 10,8%, Гродненской – 10,3%, Могилевской – 8,7%.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предоставлен ряд льгот и преференций для субъектов торговли, общественного питания и бытового обслуживания, осуществляющих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деятельность на территории сельской местности и малых городских поселений.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«Важно сохранить село и дать ему новую жизнь»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– отмечал Глава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Продолжают свое развитие внемагазинные формы продаж, в том числе интернет-торговля, торговля по образцам с использованием электронных платежных инструментов и сре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пл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атежа.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сширяется сеть объектов системы TAX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FREE.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Инвестиционная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Значительным стимулом для поднятия экономики регионов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соответственно, всей Республики Беларусь являются инвестиции.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выступая в декабре 2019 г. с обращением к депутатам Палаты представителей и членам Совета Республики Национального собрания шестого и седьмого созывов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Глава государства А.Г.Лукашенко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подчеркнул, что 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экспортных рынков,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кардинальное изменение ситуации 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демографии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2019 года обеспечен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инвестиций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основной капитал во всех регионах, кроме Гродненской области. В 5 областях темпы роста инвестиций в основной капитал опережают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среднереспубликанский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темп (105,7%): в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Брестской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(106%), Витебской (106,2%), Гомельс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(115,6%), Минской (112,6%),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Могилевской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(109,8%).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2019 году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завершен ряд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следующих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инвестиционных проектов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Брестской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– строительство завода по производству премиксов,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суперконцентратов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г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реста; объекты к празднованию 1000-летия г.Бреста;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Витебской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– «Создание производственных мощностей по выпуску обуви до 5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Гомельской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– «Модернизация действующей линии по производству листового полированного стекла на ОАО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Гомельстекло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 Организация производств по промышленной переработке стекла» (ОАО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Гомельстекло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Гродненской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– «Создание промышленного производства лекарственных сре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дств в ф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орме таблеток и капсул, соответствующего требованиям Надлежащей производственной практики (GMP)»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(ООО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Новалок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»); «Строительство цеха азотной кислоты мощностью 1200 тонн в сутки с реконструкцией действующего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производства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карбамидо-амиачной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смеси» (ОАО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ГродноАзот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Минской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Любанского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района» (ООО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Белкалий-Мигао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»); «Реконструкция действующих и создании новых инженерных и производственных мощностей по производству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мясо-колбасных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кулинарных и иных изделий из мяса птицы и продуктивных животных на территории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Смолевичского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района» (ЗАО «ЮНИМИТ»);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Могилевской области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– «Строительство объекта «Комплекс по производству полиэфирной продукции в ОАО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Могилевхимволокно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 по проспекту Шмидта, 45 в г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огилеве.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(ОАО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Могилевхимволокно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»);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г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инске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– «Проектирование и строительство медицинского центра по ул. Семашко» (СП ООО 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Фармлэнд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»); «Проектирование и строительство торгового центра в районе пересечения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ул.Чечота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Каролинской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г.Минске» (ОДО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Виталюр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привлечение инвестиций и трансформацию республики в настоящую IT-страну направлен подписанный Главой государства А.Г.Лукашенко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Декрет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21 декабря 2017 г.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№ 8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развитии цифровой экономики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(далее – Декрет). «Этот Декрет наряду с пакетом принятых решений для бизнеса должен позволить Беларуси стать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путь опережающего развития», – подчеркнул белорусский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лидер.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основных преференциальных режимов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свободные экономические зоны; особая экономическая зона «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Бремино-Орша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Китайско-Белорусский индустриальный парк «Великий камень»; Парк высоких технологий; средние, малые городские поселения, сельская местность;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Оршанский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Витебской области;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го-восточный регион Могилевской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Национальное агентство инвестиций и приватизации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пилотного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прива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тизации, реализуемого совместно с Всемирным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банком.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2019 года регионами привлечено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1 227,4 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долл. прямых иностранных инвестиций на чистой основе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(без учета задолженности прямому инвестору за товары, работы, услуги; далее – ПИИ на чистой основе). Наибольший объем ПИИ на чистой основе привлечен в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 (614,8 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долл., или 50,1% от объема в целом по стране), Минскую (281,3 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долл., или 22,9%) и Могилевскую (104,5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долл., или 8,5%) области.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разрезе остальных регионов привлечение ПИИ на чистой основе составило: Брестская область – 61,3 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долл., или 5%, Витебская – 42,5 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долл., или 3,5%, Гомельская – 77,1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долл., или 6,3%, Гродненская – 45,9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долл., или 3,7%.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Предпринимательство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деловая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активность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Предпринимательство и деловая активность во многом определяют устойчивое социально-экономическое развитие регионов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Наибольшая деловая активность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сохраняется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инске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Минской области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1 тыс. действующих юридических лиц – субъектов малого и среднего предпринимательства в г.Минске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Гомельская – 67,2, Гродненская –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61,1.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составляет более 40%, в Минской области – около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государственном уровне проводится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работа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стимулированию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развития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следующим ключевым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направлениям: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регуляторных решений общесистемного характера, направленных на совершенствование делового и инвестиционного климата, снижение административной нагрузки на бизнес, оптимизацию уровня контроля со стороны государства, формирование рациональной фискальной политики;</w:t>
      </w:r>
    </w:p>
    <w:p w:rsidR="005F0EA3" w:rsidRPr="005F0EA3" w:rsidRDefault="005F0EA3" w:rsidP="005F0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</w:t>
      </w:r>
    </w:p>
    <w:p w:rsid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республиканском и региональном уровнях осуществляется постоянный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диалог власти и бизнеса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решению Правительства Республики Беларусь (постановление Совета Министров 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основных инструментов поддержки малого и среднего предпринимательства в областях и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является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Государственная программа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Малое и среднее предпринимательство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Республике Беларусь»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2016–2020 годы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2019 году Государственная программа дополнена Комплексом мер по реализации первого этапа Стратегии развития малого и среднего предпринимательства «Беларусь – 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успешного предпринимательства» на период до 2030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сеть субъектов инфраструктуры поддержки предпринимательства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состоянию на 1 января 2020 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стране действовало 109 центров поддержки предпринимательст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                           и 26 инкубаторов малого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предпринимательства.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стимулированию развития малого и среднего предпринимательства на отдельных малых территориях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привлекаются международные организации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Министерством экономики Республики Беларусь реализуются два проекта Межд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ународной технической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Проект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«Поддержка экономического развития на местном уровне в Республике Беларусь»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ориентирован на развитие местных микр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малых и средних предприятий, а также иных предприятий, нацеленных на решение социально-зн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ачимых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проблем.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Браславский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Оршанский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Брагинский,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Жлобинский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Хойникский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Лидский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Борисовский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Молодечненский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Быховский,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Хотимский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С февраля 2017 г. реализуется проект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«Содействие занятости и </w:t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самозанятости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населения в малых и средних городах Республики Беларусь»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 рамках данного проекта на отобранных 6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пилотных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площадках планируется создание центров поддержки предпринимательства (Витебская область – г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лубокое,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г.Барань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Могилевская область – г.Кричев, г.Чаусы, г.Горки и г.Мстиславль).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беспрецедентной поддержке предпринимательства и деловой активности в республике однозначно заявил Глава государства А.Г.Лукашенко: «Что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полную свободу дали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(трудно найти такую страну): в течение дня зарегистрировался и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иди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работай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Внешнеэкономическая </w:t>
      </w:r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Внешнеэкономическая деятельность регионов нацелена на обеспечение сбалансированности во внешней торговле товарами и услугами.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Экспорт товаров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2019 году в целом по стране составил 32,9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млрд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долл., или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97,1%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2018 году.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Наибольший удельный вес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объеме экспорта товаров страны приходится на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инск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(34,7%),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Минскую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(22,6%) 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Гомельскую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(12,4%) области. Среди регионов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 экспорта товаров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 году зафиксирован в Брестской (109%),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Минской (101,1%) и Могилевской (111,2%)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Важнейшими товарными позициями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древесно-волокнистые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цемент, волокна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синтетические.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Диверсификация экспорта, поиск новых рынков – вопрос первостепенной важности, вопрос выживания нашей страны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Китай, – Латинской Америки,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Африки).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2019 года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положительное сальдо внешней торговли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обеспечено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Брестской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(840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долл.),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Гродненской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(386,8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долл.),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Минской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(1 381,6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долл.) и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Могилевской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(776,2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долл.)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областях.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Экспорт услуг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целом по республике за прошлый год составил 9,7 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млрд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 (109,3%), из них 57,9% приходится на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инск (5,6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млрд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долл., или 116,3%). В целом по стране сформировалось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положительное сальдо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внешней торговли услугами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размере 4,2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млрд</w:t>
      </w:r>
      <w:proofErr w:type="spellEnd"/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экспорте услуг преобладают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услуги трубопроводного, автомобильного и железнодорожного транспорта, прочие деловые, строительные, туристические, а также 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оммуникационные, компьютерные и информационные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импортозамещения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Привозные товарные позиции в основном представлены сырьем и материалами, не производимыми в республике.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Перспективы развития регионов страны</w:t>
      </w:r>
    </w:p>
    <w:p w:rsid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неоднократно подчеркивал Президент Республики Беларусь А.Г.Лукашенко, «останавливаться на достигнутом недопустимо», несмотря на поступательное развитие регионов.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951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проекту Национальной стратегии устойчивого развития Республики Беларусь на период до 2035 года,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стратегической целью регионального развития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ские территории Беларуси станут привлекательными для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главных задач – увеличение доходов от экономической деятельности путем стимулирования потенциала саморазвития территорий, улучшение качества жизни и возможностей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ореализации граждан в городской и сельской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местности.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 поставленных целей и задач предусматривается по четырем направлениям.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 Комплексное развитие и рациональное размещение производительных сил.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Оршанский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Полоцкий,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Мозырский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Борисовский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Солигорский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Молодечненский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 также регионы перспективного строительства (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Островецкий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Глубокский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Жлобинский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Кричевский районы).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и IT-центра международного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Системная работа по развитию столичных функций г</w:t>
      </w:r>
      <w:proofErr w:type="gram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инска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 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Промышленный комплекс столицы должен развиваться по пути создания и модернизации наукоемких компактных производств, отвечающих запросам по </w:t>
      </w:r>
      <w:proofErr w:type="spellStart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экологичности</w:t>
      </w:r>
      <w:proofErr w:type="spellEnd"/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информационно-коммуникационных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технологий: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в городах сбалансированной,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низкоуглеродной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безопасной, комфортной и недорогой для потребителей транспортной системы.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значение имеют повышение эффективности и надежности жилищно-коммунального хозяйства с улучшением качества услуг для конечных потребителей; 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Улучшение качества жизни горожан предусматривает 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среды, совершенствовании облика застройки с комплексной градостроительной реконструкцией неэффективно используемых территорий производственных зо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н, благоустройством озелененных территорий общего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951" w:rsidRDefault="00706951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3. Повышение устойчивости развития отстающих районов и сельских территорий.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местных ресурсов и развития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Основу повышения уровня и качества жизни сельского населения составит развитие 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Предусматривается активное введение в практику оказания услуг мобильных форм и информационных технологий, сочетания преимуществ сельского уклада жизни с городскими стандартами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инфраструктурного обустройства и сервисного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обслуживания.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 Наращивание компетенций и потенциала саморазвития территорий.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 сформировать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инновационно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 совершенствованию региональной образовательной среды в интересах устойчивого развития, личностного роста, реализации индивидуальных способностей.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создать в регионах правовые и институциональные условия повышения финансовой заинтересованности и самостоятельности органов местного управления и самоуправления в развитии территорий, поддержки местной инициативы и сотрудничества административно-территориальных единиц.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Рассмотрим перспективы развития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инска.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целью социально-экономического развития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в 2020 году является рост благосостояния и улучшение условий жизни населения на основе повышения конкурентоспособности экономики, активизации рыночных институтов и инновационного развития, обеспечения социальной стабильности.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поставленных целей приоритетными направлениями развития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инска определены: повышение эффективности инвестиций, создание новых рабочих мест, рост и диверсификация экспорта, ускорение информатизации, формирование мотивированного, образованного и активного поколения.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2020 году в г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предусматривается следующее.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Реализация крупных инвестиционных проектов, в том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числе: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экспериментального многофункционального комплекса «Минск-Мир» (ИООО «Дана Астра»);</w:t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многофункционального комплекса в границах ул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илимонова – пр.Независимости –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ул.Макаенка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(ОАО «Газпром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трансгаз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Беларусь»);</w:t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многофункционального гостиничного комплекса (ООО «КПИ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Девелопмент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многофункционального комплекса общественно-жилой застройки «Маяк Минска» в границах просп. Независимости – ландшафтно-рекреационной зоны 85 ЛР-1 – ул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корины – продолжения ул.Калиновского (проектируемой) (ИООО «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Зомекс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Инвестмент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многофункционального комплекса в квартале пр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езависимости –ул.Я.Купалы – р.Свислочь (ООО «Элит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Эстейт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5F0EA3" w:rsidRPr="005F0EA3" w:rsidRDefault="005F0EA3" w:rsidP="005F0E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многофункционального комплекса на пересечении просп. Независимости –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акаенка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(ИООО «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Зомекс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Инвестмент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Стимулирование роста в структуре экономики г.Минска «высокопроизводите</w:t>
      </w:r>
      <w:r w:rsidR="0070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льных»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услуг.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Максимальным потенциалом для социально-экономического развития города обладают такие виды деятельности, как «информация и связь», «финансовая и страховая деятельность», «професси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ональная, научная и техническая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деятельность».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 Минска как международного финансового центра позволит существенно увеличить доходную часть городского бюджета (по опыту крупных финансовых центров), решит проблему за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нятости высококвалифицированной рабочей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 новых отраслей, которые будут способствовать росту конкурентоспособности города сразу по нескольким факторам:</w:t>
      </w:r>
    </w:p>
    <w:p w:rsidR="005F0EA3" w:rsidRPr="005F0EA3" w:rsidRDefault="005F0EA3" w:rsidP="005F0E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градопреобразующие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технологии – виды деятельности, ориентированные на технологические инновации, повышающие качество городской среды и эффективность городского управления (технологии «умного города»);</w:t>
      </w:r>
      <w:proofErr w:type="gramEnd"/>
    </w:p>
    <w:p w:rsidR="005F0EA3" w:rsidRPr="005F0EA3" w:rsidRDefault="005F0EA3" w:rsidP="005F0E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«заботы о человеке» – виды деятельности, ориентированные на развитие человеческого капитала в различных его аспектах (индустрия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здорового образа жизни, специальные медицинские услуги, индустрия развивающего досуга, индустрия услуг на дому, индустрия ухода за лицами ограниченных возможностей);</w:t>
      </w:r>
      <w:proofErr w:type="gramEnd"/>
    </w:p>
    <w:p w:rsidR="005F0EA3" w:rsidRPr="005F0EA3" w:rsidRDefault="005F0EA3" w:rsidP="005F0E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креативные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индустрии и въездной туризм – виды деятельности, ориентированные на оказание услуг в различных областях культуры и искусства,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книгоиздания, индустрия гостеприимства, дизайна и пространственной архитектуры, шоу-бизнеса, клубной индустрии, индустрии моды.</w:t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Высвобождение части производственных </w:t>
      </w:r>
      <w:r w:rsidR="0070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объектов и территорий для иного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использования.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 по свертыванию деятельности экологически вредных и малопроизводительных предприятий промышленности будут направлены на изменение функционального использования этих территорий в интересах отраслей и видов деятельности, повышающих качество городской среды.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Планируется вынос отдельных производств или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технологических линий на новые площадки в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регионы.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Повышение конкурентоспособности предприятий традиционных отраслей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в том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путем: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и экономической модернизации, снижения всех видов затрат на производство продукции, внедрения систем управления ресурсами в крупных организациях с численностью работников более 1000 человек;</w:t>
      </w:r>
    </w:p>
    <w:p w:rsidR="005F0EA3" w:rsidRPr="005F0EA3" w:rsidRDefault="005F0EA3" w:rsidP="005F0E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оптимизации численности работников, продажи или передачи непрофильных активов, передачи вспомогательных производственных процессов на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экономической целесообразности, ликвидации неэффективных производств и производственных процессов.</w:t>
      </w:r>
    </w:p>
    <w:p w:rsidR="005F0EA3" w:rsidRPr="005F0EA3" w:rsidRDefault="005F0EA3" w:rsidP="005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Развитие перспективных видов промышленного производства, отвечающих требованиям </w:t>
      </w:r>
      <w:proofErr w:type="spell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экологичности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низкой материалоемкости.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5F0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Это производство облучающего, электромедицинского и электротехнического оборудования, производство электронных элементов и электрической бытовой техники, производство компьютерного и периферийного оборудования, производство основных фармацевтических продуктов и фармацевтических препаратов, производство автомобильных компонент, производство офисной техники и оборудования.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 видов деятельности, обеспечивающих выполнение функций центра компетенций и сервиса</w:t>
      </w:r>
      <w:r w:rsidRPr="005F0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(услуги по наладке, обслуживанию, программному обеспечению высокотехнологичного оборудования, обучению кадров) для развития промышленных произво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в др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угих территориях республики.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Перспективны для регионов направления сотрудничества с научно-исследовательскими организациями Минска в сфере развития современных технологий АПК, металлообработки, производства компонентов для электротранспорта, новых текстильных и композиционных материалов, фармацевтики. Значительный мультипликативный эффект для развития экономики регионов должен дать столичный сектор </w:t>
      </w:r>
      <w:proofErr w:type="spellStart"/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Т-услуг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благоприятной предпринимательской среды, поддержка и развитие малого бизнеса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привлечение малых и средних предприятий города к заказам промышленных предприятий, стимулирование внедрения экологических инноваций в производство,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аутсорсинг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развитие производственной кооперации и </w:t>
      </w:r>
      <w:proofErr w:type="spell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субконтрактации</w:t>
      </w:r>
      <w:proofErr w:type="spell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расширение механизмов финансовой и имущественной поддержки субъектов МСП.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EA3" w:rsidRPr="005F0EA3" w:rsidRDefault="005F0EA3" w:rsidP="005F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A496A" w:rsidRPr="005F0EA3" w:rsidRDefault="005F0EA3" w:rsidP="005F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словам Главы государства А.Г.Лукашенко, прежде </w:t>
      </w:r>
      <w:proofErr w:type="gramStart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ления, социально-экономического развития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территорий.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«Поэтому для того, чтобы здесь дети ваши и внуки жили, надо создать условия. Условия не хуже, чем в лучших местах нашей Беларуси.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 перед нами стоит </w:t>
      </w:r>
      <w:proofErr w:type="gramStart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</w:t>
      </w:r>
      <w:proofErr w:type="gramEnd"/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прежде всего развить экономику регионов, чтобы были рабочие места и была зарплата для людей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– отметил А.Г.Лукашенко, совершая рабочую поездку по Брестской области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</w:t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году.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никто нас никуда не повернет – не сможет. </w:t>
      </w:r>
      <w:r w:rsidRPr="005F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Поэтому главное – экономика</w:t>
      </w:r>
      <w:r w:rsidRPr="005F0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– подчеркнул белорусский лидер.</w:t>
      </w:r>
    </w:p>
    <w:sectPr w:rsidR="007A496A" w:rsidRPr="005F0EA3" w:rsidSect="005F0E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122"/>
    <w:multiLevelType w:val="multilevel"/>
    <w:tmpl w:val="03123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C4B41"/>
    <w:multiLevelType w:val="multilevel"/>
    <w:tmpl w:val="9FC02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35DF6"/>
    <w:multiLevelType w:val="multilevel"/>
    <w:tmpl w:val="BBAAE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F6F20"/>
    <w:multiLevelType w:val="multilevel"/>
    <w:tmpl w:val="F53A6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B0FAE"/>
    <w:multiLevelType w:val="multilevel"/>
    <w:tmpl w:val="4E487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F0EA3"/>
    <w:rsid w:val="005F0EA3"/>
    <w:rsid w:val="00706951"/>
    <w:rsid w:val="007A496A"/>
    <w:rsid w:val="00A33639"/>
    <w:rsid w:val="00C1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EA3"/>
    <w:rPr>
      <w:b/>
      <w:bCs/>
    </w:rPr>
  </w:style>
  <w:style w:type="character" w:styleId="a4">
    <w:name w:val="Emphasis"/>
    <w:basedOn w:val="a0"/>
    <w:uiPriority w:val="20"/>
    <w:qFormat/>
    <w:rsid w:val="005F0EA3"/>
    <w:rPr>
      <w:i/>
      <w:iCs/>
    </w:rPr>
  </w:style>
  <w:style w:type="character" w:styleId="a5">
    <w:name w:val="Hyperlink"/>
    <w:basedOn w:val="a0"/>
    <w:uiPriority w:val="99"/>
    <w:semiHidden/>
    <w:unhideWhenUsed/>
    <w:rsid w:val="005F0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ta.by/infograph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42239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Adamovich.Vitali</dc:creator>
  <cp:lastModifiedBy>Adamovich.Vitali</cp:lastModifiedBy>
  <cp:revision>1</cp:revision>
  <dcterms:created xsi:type="dcterms:W3CDTF">2020-03-19T00:09:00Z</dcterms:created>
  <dcterms:modified xsi:type="dcterms:W3CDTF">2020-03-19T00:35:00Z</dcterms:modified>
</cp:coreProperties>
</file>