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B3" w:rsidRDefault="005219B3" w:rsidP="005219B3">
      <w:pPr>
        <w:spacing w:after="240"/>
        <w:ind w:firstLine="0"/>
        <w:jc w:val="both"/>
        <w:rPr>
          <w:b/>
          <w:bCs/>
          <w:sz w:val="24"/>
        </w:rPr>
      </w:pPr>
      <w:r w:rsidRPr="005219B3">
        <w:rPr>
          <w:b/>
          <w:bCs/>
          <w:sz w:val="24"/>
        </w:rPr>
        <w:t xml:space="preserve">«Градостроительный проект детального планирования территории в границах ул. М. Богдановича – ул. Кульман – ул. Л. </w:t>
      </w:r>
      <w:proofErr w:type="spellStart"/>
      <w:r w:rsidRPr="005219B3">
        <w:rPr>
          <w:b/>
          <w:bCs/>
          <w:sz w:val="24"/>
        </w:rPr>
        <w:t>Карастояновой</w:t>
      </w:r>
      <w:proofErr w:type="spellEnd"/>
      <w:r w:rsidRPr="005219B3">
        <w:rPr>
          <w:b/>
          <w:bCs/>
          <w:sz w:val="24"/>
        </w:rPr>
        <w:t xml:space="preserve"> – ул. Орловская» </w:t>
      </w:r>
    </w:p>
    <w:p w:rsidR="00531CEE" w:rsidRPr="00531CEE" w:rsidRDefault="00531CEE" w:rsidP="00531CEE">
      <w:pPr>
        <w:tabs>
          <w:tab w:val="left" w:pos="0"/>
        </w:tabs>
        <w:ind w:firstLine="0"/>
        <w:jc w:val="both"/>
        <w:rPr>
          <w:sz w:val="24"/>
        </w:rPr>
      </w:pPr>
      <w:r>
        <w:rPr>
          <w:sz w:val="24"/>
        </w:rPr>
        <w:tab/>
      </w:r>
      <w:r w:rsidRPr="00531CEE">
        <w:rPr>
          <w:sz w:val="24"/>
        </w:rPr>
        <w:t>ЦЕЛЬ ПРОЕКТА</w:t>
      </w:r>
    </w:p>
    <w:p w:rsidR="00531CEE" w:rsidRPr="00531CEE" w:rsidRDefault="00531CEE" w:rsidP="00531CEE">
      <w:pPr>
        <w:tabs>
          <w:tab w:val="left" w:pos="0"/>
        </w:tabs>
        <w:spacing w:after="240"/>
        <w:ind w:firstLine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Р</w:t>
      </w:r>
      <w:r w:rsidRPr="00531CEE">
        <w:rPr>
          <w:sz w:val="24"/>
        </w:rPr>
        <w:t>азработ</w:t>
      </w:r>
      <w:r w:rsidR="00A44C31">
        <w:rPr>
          <w:sz w:val="24"/>
        </w:rPr>
        <w:t xml:space="preserve">ка </w:t>
      </w:r>
      <w:r w:rsidRPr="00531CEE">
        <w:rPr>
          <w:sz w:val="24"/>
        </w:rPr>
        <w:t>градостроительно</w:t>
      </w:r>
      <w:r w:rsidR="00A44C31">
        <w:rPr>
          <w:sz w:val="24"/>
        </w:rPr>
        <w:t>й</w:t>
      </w:r>
      <w:r w:rsidRPr="00531CEE">
        <w:rPr>
          <w:sz w:val="24"/>
        </w:rPr>
        <w:t xml:space="preserve"> документа</w:t>
      </w:r>
      <w:r w:rsidR="00A44C31">
        <w:rPr>
          <w:sz w:val="24"/>
        </w:rPr>
        <w:t>ции</w:t>
      </w:r>
      <w:r w:rsidRPr="00531CEE">
        <w:rPr>
          <w:sz w:val="24"/>
        </w:rPr>
        <w:t xml:space="preserve"> для регулирования инвестиционных процессов</w:t>
      </w:r>
      <w:r w:rsidR="00132DF2" w:rsidRPr="00132DF2">
        <w:rPr>
          <w:sz w:val="24"/>
        </w:rPr>
        <w:t xml:space="preserve"> </w:t>
      </w:r>
      <w:r w:rsidRPr="00531CEE">
        <w:rPr>
          <w:sz w:val="24"/>
        </w:rPr>
        <w:t>на проектируемой территории в части установления градостроительных требований к ее функциональному использованию, застройке и озеленению с учетом стратегии развития и градостроительных регламентов, установленных для ландшафтно-рекреационной территории южной</w:t>
      </w:r>
      <w:r w:rsidR="00A44C31">
        <w:rPr>
          <w:sz w:val="24"/>
        </w:rPr>
        <w:t xml:space="preserve"> части функциональной зоны 26ЛР, </w:t>
      </w:r>
      <w:r w:rsidRPr="00531CEE">
        <w:rPr>
          <w:sz w:val="24"/>
        </w:rPr>
        <w:t>в соответствии с основными положениями</w:t>
      </w:r>
      <w:r w:rsidR="00A44C31">
        <w:rPr>
          <w:sz w:val="24"/>
        </w:rPr>
        <w:t xml:space="preserve">   Генерального плана г. Минска.</w:t>
      </w:r>
    </w:p>
    <w:p w:rsidR="00531CEE" w:rsidRPr="00531CEE" w:rsidRDefault="00531CEE" w:rsidP="00531CEE">
      <w:pPr>
        <w:jc w:val="both"/>
        <w:rPr>
          <w:sz w:val="24"/>
        </w:rPr>
      </w:pPr>
      <w:r>
        <w:rPr>
          <w:sz w:val="24"/>
        </w:rPr>
        <w:t>ЗАДАЧИ ПРОЕКТА</w:t>
      </w:r>
    </w:p>
    <w:p w:rsidR="00531CEE" w:rsidRPr="00531CEE" w:rsidRDefault="00A44C31" w:rsidP="00531CEE">
      <w:pPr>
        <w:spacing w:after="240"/>
        <w:jc w:val="both"/>
        <w:rPr>
          <w:sz w:val="24"/>
        </w:rPr>
      </w:pPr>
      <w:r>
        <w:rPr>
          <w:sz w:val="24"/>
        </w:rPr>
        <w:t>Ф</w:t>
      </w:r>
      <w:r w:rsidR="00531CEE" w:rsidRPr="00531CEE">
        <w:rPr>
          <w:sz w:val="24"/>
        </w:rPr>
        <w:t>ормирование «Парка Дружбы народов» с разработкой</w:t>
      </w:r>
      <w:r w:rsidR="00132DF2" w:rsidRPr="00132DF2">
        <w:rPr>
          <w:sz w:val="24"/>
        </w:rPr>
        <w:t xml:space="preserve"> </w:t>
      </w:r>
      <w:r w:rsidR="00531CEE" w:rsidRPr="00531CEE">
        <w:rPr>
          <w:sz w:val="24"/>
        </w:rPr>
        <w:t>градостроительных</w:t>
      </w:r>
      <w:r w:rsidR="00132DF2" w:rsidRPr="00132DF2">
        <w:rPr>
          <w:sz w:val="24"/>
        </w:rPr>
        <w:t xml:space="preserve"> </w:t>
      </w:r>
      <w:r w:rsidR="00531CEE" w:rsidRPr="00531CEE">
        <w:rPr>
          <w:sz w:val="24"/>
        </w:rPr>
        <w:t>мероприятий</w:t>
      </w:r>
      <w:r w:rsidR="00132DF2" w:rsidRPr="00132DF2">
        <w:rPr>
          <w:sz w:val="24"/>
        </w:rPr>
        <w:t xml:space="preserve"> </w:t>
      </w:r>
      <w:r w:rsidR="00531CEE" w:rsidRPr="00531CEE">
        <w:rPr>
          <w:sz w:val="24"/>
        </w:rPr>
        <w:t xml:space="preserve">по совершенствованию его архитектурно-планировочной организации и функционального зонирования в увязке со сложившейся прилегающей городской застройкой, а также определение оптимальных параметров объектов реконструкции, нового строительства, благоустройства и озеленения территории парка с сохранением ценных объектов растительного мира и </w:t>
      </w:r>
      <w:proofErr w:type="gramStart"/>
      <w:r w:rsidR="00531CEE" w:rsidRPr="00531CEE">
        <w:rPr>
          <w:sz w:val="24"/>
        </w:rPr>
        <w:t>учетом  допустимых</w:t>
      </w:r>
      <w:proofErr w:type="gramEnd"/>
      <w:r w:rsidR="00531CEE" w:rsidRPr="00531CEE">
        <w:rPr>
          <w:sz w:val="24"/>
        </w:rPr>
        <w:t xml:space="preserve"> рекреационных нагрузок.</w:t>
      </w:r>
    </w:p>
    <w:p w:rsidR="005219B3" w:rsidRDefault="005219B3" w:rsidP="005219B3">
      <w:pPr>
        <w:ind w:firstLine="708"/>
        <w:jc w:val="both"/>
        <w:rPr>
          <w:sz w:val="24"/>
        </w:rPr>
      </w:pPr>
      <w:r>
        <w:rPr>
          <w:sz w:val="24"/>
        </w:rPr>
        <w:t>ПОЛОЖЕНИЕ В СТРУКТУРЕ ГОРОДА</w:t>
      </w:r>
    </w:p>
    <w:p w:rsidR="005219B3" w:rsidRDefault="005219B3" w:rsidP="005219B3">
      <w:pPr>
        <w:ind w:firstLine="708"/>
        <w:jc w:val="both"/>
        <w:rPr>
          <w:sz w:val="24"/>
        </w:rPr>
      </w:pPr>
      <w:r>
        <w:rPr>
          <w:sz w:val="24"/>
        </w:rPr>
        <w:t xml:space="preserve">Советский район, Центральный сектор, большая часть территории находится в зоне влияния планировочного каркаса (100-м, 400-м зоны), хорошее транспортное сообщение (троллейбусы, автобусы, в перспективе метро). </w:t>
      </w:r>
    </w:p>
    <w:p w:rsidR="005219B3" w:rsidRPr="005219B3" w:rsidRDefault="005219B3" w:rsidP="005219B3">
      <w:pPr>
        <w:pStyle w:val="2"/>
        <w:tabs>
          <w:tab w:val="left" w:pos="0"/>
        </w:tabs>
        <w:spacing w:line="360" w:lineRule="auto"/>
        <w:ind w:firstLine="709"/>
        <w:jc w:val="both"/>
        <w:rPr>
          <w:rFonts w:eastAsiaTheme="majorEastAsia"/>
          <w:bCs/>
          <w:i/>
          <w:iCs/>
          <w:color w:val="365F91" w:themeColor="accent1" w:themeShade="BF"/>
          <w:sz w:val="24"/>
          <w:szCs w:val="24"/>
          <w:lang w:eastAsia="en-US"/>
        </w:rPr>
      </w:pPr>
      <w:r w:rsidRPr="005219B3">
        <w:rPr>
          <w:b w:val="0"/>
          <w:sz w:val="24"/>
          <w:szCs w:val="24"/>
        </w:rPr>
        <w:t>Границы проекта</w:t>
      </w:r>
      <w:r w:rsidRPr="005219B3">
        <w:rPr>
          <w:sz w:val="24"/>
          <w:szCs w:val="24"/>
        </w:rPr>
        <w:t xml:space="preserve">: </w:t>
      </w:r>
    </w:p>
    <w:p w:rsidR="005219B3" w:rsidRPr="005219B3" w:rsidRDefault="005219B3" w:rsidP="005219B3">
      <w:pPr>
        <w:tabs>
          <w:tab w:val="left" w:pos="0"/>
        </w:tabs>
        <w:jc w:val="both"/>
        <w:rPr>
          <w:rFonts w:eastAsiaTheme="minorEastAsia"/>
          <w:sz w:val="24"/>
        </w:rPr>
      </w:pPr>
      <w:r w:rsidRPr="005219B3">
        <w:rPr>
          <w:rFonts w:eastAsiaTheme="minorEastAsia"/>
          <w:sz w:val="24"/>
        </w:rPr>
        <w:t xml:space="preserve">– с северной стороны – по оси </w:t>
      </w:r>
      <w:r w:rsidRPr="005219B3">
        <w:rPr>
          <w:sz w:val="24"/>
        </w:rPr>
        <w:t xml:space="preserve">второго общегородского транспортного </w:t>
      </w:r>
      <w:proofErr w:type="gramStart"/>
      <w:r w:rsidRPr="005219B3">
        <w:rPr>
          <w:sz w:val="24"/>
        </w:rPr>
        <w:t xml:space="preserve">кольца </w:t>
      </w:r>
      <w:r w:rsidRPr="005219B3">
        <w:rPr>
          <w:rFonts w:eastAsiaTheme="minorEastAsia"/>
          <w:sz w:val="24"/>
        </w:rPr>
        <w:t xml:space="preserve"> ул.</w:t>
      </w:r>
      <w:proofErr w:type="gramEnd"/>
      <w:r w:rsidRPr="005219B3">
        <w:rPr>
          <w:rFonts w:eastAsiaTheme="minorEastAsia"/>
          <w:sz w:val="24"/>
        </w:rPr>
        <w:t xml:space="preserve"> Орловской,  на участке от ее пересечения с осью ул. Л. </w:t>
      </w:r>
      <w:proofErr w:type="spellStart"/>
      <w:r w:rsidRPr="005219B3">
        <w:rPr>
          <w:rFonts w:eastAsiaTheme="minorEastAsia"/>
          <w:sz w:val="24"/>
        </w:rPr>
        <w:t>Карастояновой</w:t>
      </w:r>
      <w:proofErr w:type="spellEnd"/>
      <w:r w:rsidRPr="005219B3">
        <w:rPr>
          <w:rFonts w:eastAsiaTheme="minorEastAsia"/>
          <w:sz w:val="24"/>
        </w:rPr>
        <w:t xml:space="preserve"> до пересечения с осью магистральной улицы М. Богдановича;</w:t>
      </w:r>
    </w:p>
    <w:p w:rsidR="005219B3" w:rsidRPr="005219B3" w:rsidRDefault="005219B3" w:rsidP="005219B3">
      <w:pPr>
        <w:tabs>
          <w:tab w:val="left" w:pos="0"/>
        </w:tabs>
        <w:jc w:val="both"/>
        <w:rPr>
          <w:rFonts w:eastAsiaTheme="minorEastAsia"/>
          <w:sz w:val="24"/>
        </w:rPr>
      </w:pPr>
      <w:r w:rsidRPr="005219B3">
        <w:rPr>
          <w:rFonts w:eastAsiaTheme="minorEastAsia"/>
          <w:sz w:val="24"/>
        </w:rPr>
        <w:t xml:space="preserve">– с восточной </w:t>
      </w:r>
      <w:proofErr w:type="gramStart"/>
      <w:r w:rsidRPr="005219B3">
        <w:rPr>
          <w:rFonts w:eastAsiaTheme="minorEastAsia"/>
          <w:sz w:val="24"/>
        </w:rPr>
        <w:t>стороны  –</w:t>
      </w:r>
      <w:proofErr w:type="gramEnd"/>
      <w:r w:rsidRPr="005219B3">
        <w:rPr>
          <w:rFonts w:eastAsiaTheme="minorEastAsia"/>
          <w:sz w:val="24"/>
        </w:rPr>
        <w:t xml:space="preserve">  по оси магистральной улицы М. Богдановича,  на</w:t>
      </w:r>
      <w:r w:rsidR="00132DF2" w:rsidRPr="00132DF2">
        <w:rPr>
          <w:rFonts w:eastAsiaTheme="minorEastAsia"/>
          <w:sz w:val="24"/>
        </w:rPr>
        <w:t xml:space="preserve"> </w:t>
      </w:r>
      <w:r w:rsidRPr="005219B3">
        <w:rPr>
          <w:rFonts w:eastAsiaTheme="minorEastAsia"/>
          <w:sz w:val="24"/>
        </w:rPr>
        <w:t xml:space="preserve">участке  от  ее  пересечения  с  осью </w:t>
      </w:r>
      <w:r w:rsidRPr="005219B3">
        <w:rPr>
          <w:sz w:val="24"/>
        </w:rPr>
        <w:t xml:space="preserve">  второго   общегородского   транспортного</w:t>
      </w:r>
      <w:r w:rsidR="00132DF2">
        <w:rPr>
          <w:sz w:val="24"/>
          <w:lang w:val="en-US"/>
        </w:rPr>
        <w:t xml:space="preserve"> </w:t>
      </w:r>
      <w:r w:rsidRPr="005219B3">
        <w:rPr>
          <w:sz w:val="24"/>
        </w:rPr>
        <w:t>кольца</w:t>
      </w:r>
      <w:r w:rsidRPr="005219B3">
        <w:rPr>
          <w:rFonts w:eastAsiaTheme="minorEastAsia"/>
          <w:sz w:val="24"/>
        </w:rPr>
        <w:t xml:space="preserve"> ул. Орловской до пересечения с осью ул. Кульман;</w:t>
      </w:r>
    </w:p>
    <w:p w:rsidR="005219B3" w:rsidRPr="005219B3" w:rsidRDefault="005219B3" w:rsidP="005219B3">
      <w:pPr>
        <w:tabs>
          <w:tab w:val="left" w:pos="0"/>
        </w:tabs>
        <w:jc w:val="both"/>
        <w:rPr>
          <w:rFonts w:eastAsiaTheme="minorEastAsia"/>
          <w:sz w:val="24"/>
        </w:rPr>
      </w:pPr>
      <w:r w:rsidRPr="005219B3">
        <w:rPr>
          <w:rFonts w:eastAsiaTheme="minorEastAsia"/>
          <w:sz w:val="24"/>
        </w:rPr>
        <w:t xml:space="preserve">– с южной стороны – по оси ул. Кульман, на участке от ее пересечения с осью магистральной ул. М. Богдановича до пересечения с осью ул. Л. </w:t>
      </w:r>
      <w:proofErr w:type="spellStart"/>
      <w:r w:rsidRPr="005219B3">
        <w:rPr>
          <w:rFonts w:eastAsiaTheme="minorEastAsia"/>
          <w:sz w:val="24"/>
        </w:rPr>
        <w:t>Карастояновой</w:t>
      </w:r>
      <w:proofErr w:type="spellEnd"/>
      <w:r w:rsidRPr="005219B3">
        <w:rPr>
          <w:rFonts w:eastAsiaTheme="minorEastAsia"/>
          <w:sz w:val="24"/>
        </w:rPr>
        <w:t>;</w:t>
      </w:r>
    </w:p>
    <w:p w:rsidR="005219B3" w:rsidRPr="005219B3" w:rsidRDefault="005219B3" w:rsidP="005219B3">
      <w:pPr>
        <w:tabs>
          <w:tab w:val="left" w:pos="0"/>
        </w:tabs>
        <w:spacing w:after="240"/>
        <w:jc w:val="both"/>
        <w:rPr>
          <w:rFonts w:eastAsiaTheme="minorEastAsia"/>
          <w:sz w:val="24"/>
        </w:rPr>
      </w:pPr>
      <w:r w:rsidRPr="005219B3">
        <w:rPr>
          <w:rFonts w:eastAsiaTheme="minorEastAsia"/>
          <w:sz w:val="24"/>
        </w:rPr>
        <w:t xml:space="preserve">– с западной стороны – по оси ул. Л. </w:t>
      </w:r>
      <w:proofErr w:type="spellStart"/>
      <w:r w:rsidRPr="005219B3">
        <w:rPr>
          <w:rFonts w:eastAsiaTheme="minorEastAsia"/>
          <w:sz w:val="24"/>
        </w:rPr>
        <w:t>Карастояновой</w:t>
      </w:r>
      <w:proofErr w:type="spellEnd"/>
      <w:r w:rsidRPr="005219B3">
        <w:rPr>
          <w:rFonts w:eastAsiaTheme="minorEastAsia"/>
          <w:sz w:val="24"/>
        </w:rPr>
        <w:t xml:space="preserve">, на участке от ее пересечения с ул. Кульман до пересечения с осью </w:t>
      </w:r>
      <w:r w:rsidRPr="005219B3">
        <w:rPr>
          <w:sz w:val="24"/>
        </w:rPr>
        <w:t>второго общегородского транспортного кольца</w:t>
      </w:r>
      <w:r w:rsidRPr="005219B3">
        <w:rPr>
          <w:rFonts w:eastAsiaTheme="minorEastAsia"/>
          <w:sz w:val="24"/>
        </w:rPr>
        <w:t xml:space="preserve"> ул. Орловской.</w:t>
      </w:r>
    </w:p>
    <w:p w:rsidR="00531CEE" w:rsidRDefault="00531CEE" w:rsidP="005219B3">
      <w:pPr>
        <w:ind w:firstLine="708"/>
        <w:jc w:val="both"/>
        <w:rPr>
          <w:sz w:val="24"/>
        </w:rPr>
      </w:pPr>
    </w:p>
    <w:p w:rsidR="00A44C31" w:rsidRDefault="00A44C31" w:rsidP="005219B3">
      <w:pPr>
        <w:ind w:firstLine="708"/>
        <w:jc w:val="both"/>
        <w:rPr>
          <w:sz w:val="24"/>
        </w:rPr>
      </w:pPr>
    </w:p>
    <w:p w:rsidR="00A44C31" w:rsidRDefault="00A44C31" w:rsidP="005219B3">
      <w:pPr>
        <w:ind w:firstLine="708"/>
        <w:jc w:val="both"/>
        <w:rPr>
          <w:sz w:val="24"/>
        </w:rPr>
      </w:pPr>
    </w:p>
    <w:p w:rsidR="005219B3" w:rsidRPr="00C85E7C" w:rsidRDefault="005219B3" w:rsidP="005219B3">
      <w:pPr>
        <w:ind w:firstLine="708"/>
        <w:jc w:val="both"/>
        <w:rPr>
          <w:sz w:val="24"/>
        </w:rPr>
      </w:pPr>
      <w:r w:rsidRPr="00C85E7C">
        <w:rPr>
          <w:sz w:val="24"/>
        </w:rPr>
        <w:lastRenderedPageBreak/>
        <w:t>ИСТОРИЯ</w:t>
      </w:r>
    </w:p>
    <w:p w:rsidR="005219B3" w:rsidRPr="00C85E7C" w:rsidRDefault="005219B3" w:rsidP="005219B3">
      <w:pPr>
        <w:spacing w:after="240"/>
        <w:ind w:firstLine="708"/>
        <w:jc w:val="both"/>
        <w:rPr>
          <w:sz w:val="24"/>
        </w:rPr>
      </w:pPr>
      <w:r w:rsidRPr="00C85E7C">
        <w:rPr>
          <w:sz w:val="24"/>
        </w:rPr>
        <w:t xml:space="preserve">Парк Дружбы народов существует с 1978 г. До этого времени здесь был экспериментальный участок Минской болотной опытной станции, где после осушения </w:t>
      </w:r>
      <w:proofErr w:type="spellStart"/>
      <w:r w:rsidRPr="00C85E7C">
        <w:rPr>
          <w:sz w:val="24"/>
        </w:rPr>
        <w:t>Комаровского</w:t>
      </w:r>
      <w:proofErr w:type="spellEnd"/>
      <w:r w:rsidRPr="00C85E7C">
        <w:rPr>
          <w:sz w:val="24"/>
        </w:rPr>
        <w:t xml:space="preserve"> болота велись наблюдения за динамикой торфяных почв. </w:t>
      </w:r>
    </w:p>
    <w:p w:rsidR="005219B3" w:rsidRDefault="005219B3" w:rsidP="005219B3">
      <w:pPr>
        <w:ind w:firstLine="708"/>
        <w:jc w:val="both"/>
        <w:rPr>
          <w:spacing w:val="1"/>
          <w:sz w:val="24"/>
        </w:rPr>
      </w:pPr>
      <w:r>
        <w:rPr>
          <w:spacing w:val="1"/>
          <w:sz w:val="24"/>
        </w:rPr>
        <w:t>РЕКРЕАЦИОННАЯ ЗНАЧИМОСТЬ</w:t>
      </w:r>
    </w:p>
    <w:p w:rsidR="005219B3" w:rsidRDefault="005219B3" w:rsidP="005219B3">
      <w:pPr>
        <w:ind w:firstLine="708"/>
        <w:jc w:val="both"/>
        <w:rPr>
          <w:sz w:val="24"/>
        </w:rPr>
      </w:pPr>
      <w:r w:rsidRPr="00C85E7C">
        <w:rPr>
          <w:spacing w:val="1"/>
          <w:sz w:val="24"/>
        </w:rPr>
        <w:t>В</w:t>
      </w:r>
      <w:r w:rsidRPr="00C85E7C">
        <w:rPr>
          <w:sz w:val="24"/>
        </w:rPr>
        <w:t xml:space="preserve"> прилегающих</w:t>
      </w:r>
      <w:r w:rsidR="00132DF2" w:rsidRPr="00132DF2">
        <w:rPr>
          <w:sz w:val="24"/>
        </w:rPr>
        <w:t xml:space="preserve"> </w:t>
      </w:r>
      <w:r w:rsidRPr="00C85E7C">
        <w:rPr>
          <w:sz w:val="24"/>
        </w:rPr>
        <w:t>кварталах жилой многоквартирной высокоплотной застройки проживает около 47 тыс. жителей. В целом в радиусе обслуживания парка в жилой многоквартирной и усадебной застройке проживает около 94 тыс</w:t>
      </w:r>
      <w:r>
        <w:rPr>
          <w:sz w:val="24"/>
        </w:rPr>
        <w:t>.</w:t>
      </w:r>
      <w:r w:rsidRPr="00C85E7C">
        <w:rPr>
          <w:sz w:val="24"/>
        </w:rPr>
        <w:t xml:space="preserve"> жителей.</w:t>
      </w:r>
    </w:p>
    <w:p w:rsidR="005219B3" w:rsidRDefault="005219B3" w:rsidP="005219B3">
      <w:pPr>
        <w:spacing w:after="240"/>
        <w:ind w:firstLine="708"/>
        <w:jc w:val="both"/>
        <w:rPr>
          <w:sz w:val="24"/>
        </w:rPr>
      </w:pPr>
      <w:r>
        <w:rPr>
          <w:sz w:val="24"/>
        </w:rPr>
        <w:t xml:space="preserve">В будущем, учитывая перспективную линию метро, можно говорить только об увеличении рекреационных нагрузок.  </w:t>
      </w:r>
    </w:p>
    <w:p w:rsidR="005219B3" w:rsidRDefault="005219B3" w:rsidP="005219B3">
      <w:pPr>
        <w:ind w:firstLine="708"/>
        <w:jc w:val="both"/>
        <w:rPr>
          <w:sz w:val="24"/>
        </w:rPr>
      </w:pPr>
      <w:r>
        <w:rPr>
          <w:sz w:val="24"/>
        </w:rPr>
        <w:t>СУЩЕСТВУЮЩЕЕ ПОЛОЖЕНИЕ</w:t>
      </w:r>
    </w:p>
    <w:p w:rsidR="005219B3" w:rsidRDefault="005219B3" w:rsidP="005219B3">
      <w:pPr>
        <w:ind w:firstLine="708"/>
        <w:jc w:val="both"/>
        <w:rPr>
          <w:sz w:val="24"/>
        </w:rPr>
      </w:pPr>
      <w:r>
        <w:rPr>
          <w:sz w:val="24"/>
        </w:rPr>
        <w:t xml:space="preserve">В настоящее время парк рассчитан на низкие и средние рекреационные нагрузки. На его территории есть площадка для проведения массовых мероприятий со сценой (не благоустроена), две детские площадки, декоративный питьевой источник, рампа, площадка для </w:t>
      </w:r>
      <w:proofErr w:type="spellStart"/>
      <w:r>
        <w:rPr>
          <w:sz w:val="24"/>
        </w:rPr>
        <w:t>воркаута</w:t>
      </w:r>
      <w:proofErr w:type="spellEnd"/>
      <w:r>
        <w:rPr>
          <w:sz w:val="24"/>
        </w:rPr>
        <w:t xml:space="preserve">. </w:t>
      </w:r>
    </w:p>
    <w:p w:rsidR="00B23C20" w:rsidRPr="00B23C20" w:rsidRDefault="00B23C20" w:rsidP="00B23C20">
      <w:pPr>
        <w:jc w:val="both"/>
        <w:rPr>
          <w:sz w:val="24"/>
        </w:rPr>
      </w:pPr>
      <w:r w:rsidRPr="00B23C20">
        <w:rPr>
          <w:sz w:val="24"/>
        </w:rPr>
        <w:t>Территория в границах про</w:t>
      </w:r>
      <w:r>
        <w:rPr>
          <w:sz w:val="24"/>
        </w:rPr>
        <w:t>ектирования составляет 33,0 га, из них 24,5 га – ландшафтно-рекреационные территории (74,2%).</w:t>
      </w:r>
    </w:p>
    <w:p w:rsidR="00902CAA" w:rsidRDefault="005219B3" w:rsidP="004155F7">
      <w:pPr>
        <w:ind w:firstLine="708"/>
        <w:jc w:val="both"/>
        <w:rPr>
          <w:sz w:val="24"/>
        </w:rPr>
      </w:pPr>
      <w:r>
        <w:rPr>
          <w:sz w:val="24"/>
        </w:rPr>
        <w:t xml:space="preserve">Основная застройка сосредоточена на пересечении ул. </w:t>
      </w:r>
      <w:proofErr w:type="spellStart"/>
      <w:r>
        <w:rPr>
          <w:sz w:val="24"/>
        </w:rPr>
        <w:t>Карастояновой</w:t>
      </w:r>
      <w:proofErr w:type="spellEnd"/>
      <w:r>
        <w:rPr>
          <w:sz w:val="24"/>
        </w:rPr>
        <w:t xml:space="preserve"> и ул. Кульман: </w:t>
      </w:r>
    </w:p>
    <w:p w:rsidR="00902CAA" w:rsidRPr="00902CAA" w:rsidRDefault="00902CAA" w:rsidP="00902CAA">
      <w:pPr>
        <w:pStyle w:val="a9"/>
        <w:numPr>
          <w:ilvl w:val="0"/>
          <w:numId w:val="15"/>
        </w:numPr>
        <w:spacing w:line="360" w:lineRule="auto"/>
        <w:ind w:left="0" w:firstLine="0"/>
        <w:jc w:val="both"/>
        <w:rPr>
          <w:szCs w:val="24"/>
        </w:rPr>
      </w:pPr>
      <w:r w:rsidRPr="00902CAA">
        <w:rPr>
          <w:szCs w:val="24"/>
        </w:rPr>
        <w:t xml:space="preserve">общественные объекты площадью 0,3 га (0,9 %), в </w:t>
      </w:r>
      <w:proofErr w:type="spellStart"/>
      <w:r w:rsidRPr="00902CAA">
        <w:rPr>
          <w:szCs w:val="24"/>
        </w:rPr>
        <w:t>т.ч</w:t>
      </w:r>
      <w:proofErr w:type="spellEnd"/>
      <w:r w:rsidRPr="00902CAA">
        <w:rPr>
          <w:szCs w:val="24"/>
        </w:rPr>
        <w:t>.:</w:t>
      </w:r>
    </w:p>
    <w:p w:rsidR="00902CAA" w:rsidRPr="00902CAA" w:rsidRDefault="00902CAA" w:rsidP="00902CAA">
      <w:pPr>
        <w:ind w:left="707" w:firstLine="2"/>
        <w:jc w:val="both"/>
        <w:rPr>
          <w:sz w:val="24"/>
        </w:rPr>
      </w:pPr>
      <w:r w:rsidRPr="00902CAA">
        <w:rPr>
          <w:sz w:val="24"/>
        </w:rPr>
        <w:t xml:space="preserve">– ресторан-пивоварня «Друзья» </w:t>
      </w:r>
      <w:r w:rsidRPr="00902CAA">
        <w:rPr>
          <w:color w:val="000000"/>
          <w:sz w:val="24"/>
        </w:rPr>
        <w:t>СООО "АЛС-Инвест"</w:t>
      </w:r>
      <w:r w:rsidRPr="00902CAA">
        <w:rPr>
          <w:sz w:val="24"/>
        </w:rPr>
        <w:t>;</w:t>
      </w:r>
    </w:p>
    <w:p w:rsidR="00902CAA" w:rsidRPr="00902CAA" w:rsidRDefault="00902CAA" w:rsidP="00902CAA">
      <w:pPr>
        <w:ind w:left="707" w:firstLine="2"/>
        <w:jc w:val="both"/>
        <w:rPr>
          <w:sz w:val="24"/>
        </w:rPr>
      </w:pPr>
      <w:r w:rsidRPr="00902CAA">
        <w:rPr>
          <w:sz w:val="24"/>
        </w:rPr>
        <w:t xml:space="preserve">– </w:t>
      </w:r>
      <w:r w:rsidR="00132DF2" w:rsidRPr="00902CAA">
        <w:rPr>
          <w:sz w:val="24"/>
        </w:rPr>
        <w:t>ветеринарная</w:t>
      </w:r>
      <w:r w:rsidRPr="00902CAA">
        <w:rPr>
          <w:sz w:val="24"/>
        </w:rPr>
        <w:t xml:space="preserve"> клиника </w:t>
      </w:r>
      <w:r w:rsidRPr="00902CAA">
        <w:rPr>
          <w:color w:val="000000"/>
          <w:sz w:val="24"/>
        </w:rPr>
        <w:t>ИП Денисов С.И.;</w:t>
      </w:r>
    </w:p>
    <w:p w:rsidR="00902CAA" w:rsidRPr="00902CAA" w:rsidRDefault="00902CAA" w:rsidP="00902CAA">
      <w:pPr>
        <w:pStyle w:val="a9"/>
        <w:numPr>
          <w:ilvl w:val="0"/>
          <w:numId w:val="15"/>
        </w:numPr>
        <w:spacing w:line="360" w:lineRule="auto"/>
        <w:ind w:left="0" w:firstLine="0"/>
        <w:jc w:val="both"/>
        <w:rPr>
          <w:szCs w:val="24"/>
        </w:rPr>
      </w:pPr>
      <w:r w:rsidRPr="00902CAA">
        <w:rPr>
          <w:szCs w:val="24"/>
        </w:rPr>
        <w:t xml:space="preserve">коммунально-обслуживающие объекты площадью 0,8 га (2,4%), в </w:t>
      </w:r>
      <w:proofErr w:type="spellStart"/>
      <w:r w:rsidRPr="00902CAA">
        <w:rPr>
          <w:szCs w:val="24"/>
        </w:rPr>
        <w:t>т.ч</w:t>
      </w:r>
      <w:proofErr w:type="spellEnd"/>
      <w:r w:rsidRPr="00902CAA">
        <w:rPr>
          <w:szCs w:val="24"/>
        </w:rPr>
        <w:t>.:</w:t>
      </w:r>
    </w:p>
    <w:p w:rsidR="00902CAA" w:rsidRPr="00902CAA" w:rsidRDefault="00902CAA" w:rsidP="00902CAA">
      <w:pPr>
        <w:ind w:left="709" w:firstLine="0"/>
        <w:jc w:val="both"/>
        <w:rPr>
          <w:sz w:val="24"/>
        </w:rPr>
      </w:pPr>
      <w:r w:rsidRPr="00902CAA">
        <w:rPr>
          <w:sz w:val="24"/>
        </w:rPr>
        <w:t>– здание УП «</w:t>
      </w:r>
      <w:proofErr w:type="spellStart"/>
      <w:r w:rsidRPr="00902CAA">
        <w:rPr>
          <w:sz w:val="24"/>
        </w:rPr>
        <w:t>Зеленстрой</w:t>
      </w:r>
      <w:proofErr w:type="spellEnd"/>
      <w:r w:rsidR="00132DF2" w:rsidRPr="00132DF2">
        <w:rPr>
          <w:sz w:val="24"/>
        </w:rPr>
        <w:t xml:space="preserve"> </w:t>
      </w:r>
      <w:proofErr w:type="spellStart"/>
      <w:r w:rsidRPr="00902CAA">
        <w:rPr>
          <w:sz w:val="24"/>
        </w:rPr>
        <w:t>Совесткого</w:t>
      </w:r>
      <w:proofErr w:type="spellEnd"/>
      <w:r w:rsidRPr="00902CAA">
        <w:rPr>
          <w:sz w:val="24"/>
        </w:rPr>
        <w:t xml:space="preserve"> района»;</w:t>
      </w:r>
    </w:p>
    <w:p w:rsidR="00902CAA" w:rsidRPr="00902CAA" w:rsidRDefault="00902CAA" w:rsidP="00902CAA">
      <w:pPr>
        <w:ind w:left="709" w:firstLine="0"/>
        <w:jc w:val="both"/>
        <w:rPr>
          <w:sz w:val="24"/>
        </w:rPr>
      </w:pPr>
      <w:r w:rsidRPr="00902CAA">
        <w:rPr>
          <w:sz w:val="24"/>
        </w:rPr>
        <w:t>– автостоянка ГО «Гаражи, автостоянки, парковки»;</w:t>
      </w:r>
    </w:p>
    <w:p w:rsidR="00902CAA" w:rsidRPr="00902CAA" w:rsidRDefault="00902CAA" w:rsidP="00902CAA">
      <w:pPr>
        <w:pStyle w:val="a9"/>
        <w:numPr>
          <w:ilvl w:val="0"/>
          <w:numId w:val="15"/>
        </w:numPr>
        <w:spacing w:line="360" w:lineRule="auto"/>
        <w:ind w:left="0" w:firstLine="0"/>
        <w:jc w:val="both"/>
        <w:rPr>
          <w:szCs w:val="24"/>
        </w:rPr>
      </w:pPr>
      <w:r w:rsidRPr="00902CAA">
        <w:rPr>
          <w:szCs w:val="24"/>
        </w:rPr>
        <w:t>объекты инженерной инфраструктуры площадью 0,4 га (1,2%):</w:t>
      </w:r>
    </w:p>
    <w:p w:rsidR="00902CAA" w:rsidRPr="00902CAA" w:rsidRDefault="00902CAA" w:rsidP="00902CAA">
      <w:pPr>
        <w:ind w:left="709" w:firstLine="0"/>
        <w:jc w:val="both"/>
        <w:rPr>
          <w:sz w:val="24"/>
        </w:rPr>
      </w:pPr>
      <w:r w:rsidRPr="00902CAA">
        <w:rPr>
          <w:sz w:val="24"/>
        </w:rPr>
        <w:t xml:space="preserve">– подстанция </w:t>
      </w:r>
      <w:r w:rsidRPr="00902CAA">
        <w:rPr>
          <w:color w:val="000000"/>
          <w:sz w:val="24"/>
        </w:rPr>
        <w:t xml:space="preserve">ПС 110/10 </w:t>
      </w:r>
      <w:proofErr w:type="spellStart"/>
      <w:r w:rsidRPr="00902CAA">
        <w:rPr>
          <w:color w:val="000000"/>
          <w:sz w:val="24"/>
        </w:rPr>
        <w:t>кВ</w:t>
      </w:r>
      <w:proofErr w:type="spellEnd"/>
      <w:r w:rsidR="00132DF2">
        <w:rPr>
          <w:color w:val="000000"/>
          <w:sz w:val="24"/>
          <w:lang w:val="en-US"/>
        </w:rPr>
        <w:t xml:space="preserve"> </w:t>
      </w:r>
      <w:bookmarkStart w:id="0" w:name="_GoBack"/>
      <w:bookmarkEnd w:id="0"/>
      <w:r w:rsidRPr="00902CAA">
        <w:rPr>
          <w:sz w:val="24"/>
        </w:rPr>
        <w:t>«</w:t>
      </w:r>
      <w:proofErr w:type="spellStart"/>
      <w:r w:rsidRPr="00902CAA">
        <w:rPr>
          <w:sz w:val="24"/>
        </w:rPr>
        <w:t>Сторожевская</w:t>
      </w:r>
      <w:proofErr w:type="spellEnd"/>
      <w:r w:rsidRPr="00902CAA">
        <w:rPr>
          <w:sz w:val="24"/>
        </w:rPr>
        <w:t>»</w:t>
      </w:r>
      <w:r w:rsidRPr="00902CAA">
        <w:rPr>
          <w:color w:val="000000"/>
          <w:sz w:val="24"/>
        </w:rPr>
        <w:t xml:space="preserve"> РУП «</w:t>
      </w:r>
      <w:proofErr w:type="spellStart"/>
      <w:r w:rsidRPr="00902CAA">
        <w:rPr>
          <w:color w:val="000000"/>
          <w:sz w:val="24"/>
        </w:rPr>
        <w:t>Минскэнерго</w:t>
      </w:r>
      <w:proofErr w:type="spellEnd"/>
      <w:r w:rsidRPr="00902CAA">
        <w:rPr>
          <w:color w:val="000000"/>
          <w:sz w:val="24"/>
        </w:rPr>
        <w:t>»</w:t>
      </w:r>
      <w:r w:rsidRPr="00902CAA">
        <w:rPr>
          <w:sz w:val="24"/>
        </w:rPr>
        <w:t xml:space="preserve">; </w:t>
      </w:r>
    </w:p>
    <w:p w:rsidR="00902CAA" w:rsidRPr="00902CAA" w:rsidRDefault="00902CAA" w:rsidP="00902CAA">
      <w:pPr>
        <w:spacing w:after="240"/>
        <w:ind w:left="709" w:firstLine="0"/>
        <w:jc w:val="both"/>
        <w:rPr>
          <w:color w:val="000000"/>
          <w:sz w:val="24"/>
        </w:rPr>
      </w:pPr>
      <w:r w:rsidRPr="00902CAA">
        <w:rPr>
          <w:sz w:val="24"/>
        </w:rPr>
        <w:t xml:space="preserve">– канализационная насосная </w:t>
      </w:r>
      <w:proofErr w:type="gramStart"/>
      <w:r w:rsidRPr="00902CAA">
        <w:rPr>
          <w:sz w:val="24"/>
        </w:rPr>
        <w:t xml:space="preserve">станция  </w:t>
      </w:r>
      <w:r w:rsidRPr="00902CAA">
        <w:rPr>
          <w:color w:val="000000"/>
          <w:sz w:val="24"/>
        </w:rPr>
        <w:t>КУПП</w:t>
      </w:r>
      <w:proofErr w:type="gramEnd"/>
      <w:r w:rsidRPr="00902CAA">
        <w:rPr>
          <w:color w:val="000000"/>
          <w:sz w:val="24"/>
        </w:rPr>
        <w:t xml:space="preserve"> "</w:t>
      </w:r>
      <w:proofErr w:type="spellStart"/>
      <w:r w:rsidRPr="00902CAA">
        <w:rPr>
          <w:color w:val="000000"/>
          <w:sz w:val="24"/>
        </w:rPr>
        <w:t>Минскводоканал</w:t>
      </w:r>
      <w:proofErr w:type="spellEnd"/>
      <w:r w:rsidRPr="00902CAA">
        <w:rPr>
          <w:color w:val="000000"/>
          <w:sz w:val="24"/>
        </w:rPr>
        <w:t>".</w:t>
      </w:r>
    </w:p>
    <w:p w:rsidR="00AE2AAE" w:rsidRDefault="00AE2AAE" w:rsidP="00AE2AAE">
      <w:pPr>
        <w:jc w:val="both"/>
        <w:rPr>
          <w:sz w:val="24"/>
        </w:rPr>
      </w:pPr>
      <w:r>
        <w:rPr>
          <w:sz w:val="24"/>
        </w:rPr>
        <w:t>ПРОЕКТ</w:t>
      </w:r>
    </w:p>
    <w:p w:rsidR="00AE2AAE" w:rsidRPr="00AE2AAE" w:rsidRDefault="00AE2AAE" w:rsidP="00624EDA">
      <w:pPr>
        <w:ind w:firstLine="567"/>
        <w:jc w:val="both"/>
        <w:rPr>
          <w:sz w:val="24"/>
        </w:rPr>
      </w:pPr>
      <w:r w:rsidRPr="00AE2AAE">
        <w:rPr>
          <w:sz w:val="24"/>
        </w:rPr>
        <w:t>Определены основные направления архитектурно-планировочной организации.</w:t>
      </w:r>
    </w:p>
    <w:p w:rsidR="009A077F" w:rsidRPr="009A077F" w:rsidRDefault="009A077F" w:rsidP="009A077F">
      <w:pPr>
        <w:ind w:firstLine="567"/>
        <w:jc w:val="both"/>
        <w:rPr>
          <w:sz w:val="24"/>
        </w:rPr>
      </w:pPr>
      <w:r w:rsidRPr="009A077F">
        <w:rPr>
          <w:b/>
          <w:sz w:val="24"/>
        </w:rPr>
        <w:t xml:space="preserve">Направление 1. </w:t>
      </w:r>
      <w:r w:rsidRPr="009A077F">
        <w:rPr>
          <w:sz w:val="24"/>
        </w:rPr>
        <w:t xml:space="preserve">Выделение на территории парка </w:t>
      </w:r>
      <w:proofErr w:type="spellStart"/>
      <w:r w:rsidRPr="009A077F">
        <w:rPr>
          <w:sz w:val="24"/>
        </w:rPr>
        <w:t>подзоны</w:t>
      </w:r>
      <w:proofErr w:type="spellEnd"/>
      <w:r w:rsidRPr="009A077F">
        <w:rPr>
          <w:sz w:val="24"/>
        </w:rPr>
        <w:t xml:space="preserve"> уникальных специализированных центров ЛР-1’: Осп-с (спортивно-рекреационный центр) и Осп-р (центр отдыха и развлечений).</w:t>
      </w:r>
    </w:p>
    <w:p w:rsidR="009A077F" w:rsidRPr="009A077F" w:rsidRDefault="009A077F" w:rsidP="009A077F">
      <w:pPr>
        <w:ind w:firstLine="567"/>
        <w:jc w:val="both"/>
        <w:rPr>
          <w:sz w:val="24"/>
        </w:rPr>
      </w:pPr>
      <w:r w:rsidRPr="009A077F">
        <w:rPr>
          <w:b/>
          <w:sz w:val="24"/>
        </w:rPr>
        <w:t>Направление 2.</w:t>
      </w:r>
      <w:r w:rsidRPr="009A077F">
        <w:rPr>
          <w:sz w:val="24"/>
        </w:rPr>
        <w:t xml:space="preserve"> Насыщение территории парка новыми рекреационными объектами и многофункциональными пространствами, которые бы обеспечили вариативность использования парка различными группами населения в различное время дня и года. </w:t>
      </w:r>
    </w:p>
    <w:p w:rsidR="009A077F" w:rsidRPr="009A077F" w:rsidRDefault="009A077F" w:rsidP="009A077F">
      <w:pPr>
        <w:ind w:firstLine="567"/>
        <w:jc w:val="both"/>
        <w:rPr>
          <w:sz w:val="24"/>
        </w:rPr>
      </w:pPr>
      <w:r w:rsidRPr="009A077F">
        <w:rPr>
          <w:b/>
          <w:sz w:val="24"/>
        </w:rPr>
        <w:lastRenderedPageBreak/>
        <w:t>Направление 3.</w:t>
      </w:r>
      <w:r w:rsidRPr="009A077F">
        <w:rPr>
          <w:sz w:val="24"/>
        </w:rPr>
        <w:t xml:space="preserve"> Формирование удобных пешеходных и велосипедных связей между всеми объектами парка в увязке со сложившейся общегородской сетью.</w:t>
      </w:r>
    </w:p>
    <w:p w:rsidR="009A077F" w:rsidRPr="009A077F" w:rsidRDefault="009A077F" w:rsidP="00624EDA">
      <w:pPr>
        <w:ind w:firstLine="567"/>
        <w:jc w:val="both"/>
        <w:rPr>
          <w:sz w:val="24"/>
        </w:rPr>
      </w:pPr>
      <w:r w:rsidRPr="009A077F">
        <w:rPr>
          <w:b/>
          <w:sz w:val="24"/>
        </w:rPr>
        <w:t xml:space="preserve">Направление 4. </w:t>
      </w:r>
      <w:r w:rsidRPr="009A077F">
        <w:rPr>
          <w:sz w:val="24"/>
        </w:rPr>
        <w:t xml:space="preserve">Дифференциация покрытий для различных типов площадок: </w:t>
      </w:r>
      <w:proofErr w:type="gramStart"/>
      <w:r w:rsidRPr="009A077F">
        <w:rPr>
          <w:sz w:val="24"/>
        </w:rPr>
        <w:t>асфальт  -</w:t>
      </w:r>
      <w:proofErr w:type="gramEnd"/>
      <w:r w:rsidRPr="009A077F">
        <w:rPr>
          <w:sz w:val="24"/>
        </w:rPr>
        <w:t xml:space="preserve"> для проездов, резиновое покрытие – для спортивных и детских площадок, бетонный камень – для основных пешеходных дорожек, песчано-гравийные покрытия – для тропинок.</w:t>
      </w:r>
    </w:p>
    <w:p w:rsidR="009A077F" w:rsidRDefault="009A077F" w:rsidP="004F038C">
      <w:pPr>
        <w:spacing w:after="240"/>
        <w:ind w:firstLine="567"/>
        <w:jc w:val="both"/>
        <w:rPr>
          <w:sz w:val="24"/>
        </w:rPr>
      </w:pPr>
      <w:r w:rsidRPr="009A077F">
        <w:rPr>
          <w:b/>
          <w:sz w:val="24"/>
        </w:rPr>
        <w:t xml:space="preserve">Направление 5. </w:t>
      </w:r>
      <w:r w:rsidRPr="009A077F">
        <w:rPr>
          <w:sz w:val="24"/>
        </w:rPr>
        <w:t>Ландшафтная организация территории.</w:t>
      </w:r>
    </w:p>
    <w:p w:rsidR="00935BF1" w:rsidRPr="00935BF1" w:rsidRDefault="004F038C" w:rsidP="00935BF1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Построечный</w:t>
      </w:r>
      <w:r w:rsidR="00935BF1" w:rsidRPr="00935BF1">
        <w:rPr>
          <w:color w:val="000000"/>
          <w:sz w:val="24"/>
        </w:rPr>
        <w:t xml:space="preserve"> фонд на территории проектирования составит </w:t>
      </w:r>
      <w:r w:rsidR="00935BF1" w:rsidRPr="00935BF1">
        <w:rPr>
          <w:b/>
          <w:color w:val="000000"/>
          <w:sz w:val="24"/>
        </w:rPr>
        <w:t>11,4 тыс. м</w:t>
      </w:r>
      <w:r w:rsidR="00935BF1" w:rsidRPr="00935BF1">
        <w:rPr>
          <w:b/>
          <w:color w:val="000000"/>
          <w:sz w:val="24"/>
          <w:vertAlign w:val="superscript"/>
        </w:rPr>
        <w:t>2</w:t>
      </w:r>
      <w:r w:rsidR="00935BF1" w:rsidRPr="00935BF1">
        <w:rPr>
          <w:b/>
          <w:color w:val="000000"/>
          <w:sz w:val="24"/>
        </w:rPr>
        <w:t xml:space="preserve">, в </w:t>
      </w:r>
      <w:proofErr w:type="spellStart"/>
      <w:r w:rsidR="00935BF1" w:rsidRPr="00935BF1">
        <w:rPr>
          <w:b/>
          <w:color w:val="000000"/>
          <w:sz w:val="24"/>
        </w:rPr>
        <w:t>т.ч</w:t>
      </w:r>
      <w:proofErr w:type="spellEnd"/>
      <w:r w:rsidR="00935BF1" w:rsidRPr="00935BF1">
        <w:rPr>
          <w:b/>
          <w:color w:val="000000"/>
          <w:sz w:val="24"/>
        </w:rPr>
        <w:t>.:</w:t>
      </w:r>
    </w:p>
    <w:p w:rsidR="00935BF1" w:rsidRPr="00935BF1" w:rsidRDefault="00935BF1" w:rsidP="00935BF1">
      <w:pPr>
        <w:contextualSpacing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- о</w:t>
      </w:r>
      <w:r w:rsidRPr="00935BF1">
        <w:rPr>
          <w:rFonts w:eastAsia="Calibri"/>
          <w:color w:val="000000"/>
          <w:sz w:val="24"/>
          <w:lang w:eastAsia="en-US"/>
        </w:rPr>
        <w:t xml:space="preserve">бщая площадь </w:t>
      </w:r>
      <w:r w:rsidRPr="00935BF1">
        <w:rPr>
          <w:rFonts w:eastAsia="Calibri"/>
          <w:b/>
          <w:color w:val="000000"/>
          <w:sz w:val="24"/>
          <w:lang w:eastAsia="en-US"/>
        </w:rPr>
        <w:t>общественного фонда</w:t>
      </w:r>
      <w:r w:rsidRPr="00935BF1">
        <w:rPr>
          <w:rFonts w:eastAsia="Calibri"/>
          <w:color w:val="000000"/>
          <w:sz w:val="24"/>
          <w:lang w:eastAsia="en-US"/>
        </w:rPr>
        <w:t xml:space="preserve"> составит </w:t>
      </w:r>
      <w:r w:rsidRPr="00935BF1">
        <w:rPr>
          <w:rFonts w:eastAsia="Calibri"/>
          <w:b/>
          <w:color w:val="000000"/>
          <w:sz w:val="24"/>
          <w:lang w:eastAsia="en-US"/>
        </w:rPr>
        <w:t>9,7 тыс. м</w:t>
      </w:r>
      <w:r w:rsidRPr="00935BF1">
        <w:rPr>
          <w:rFonts w:eastAsia="Calibri"/>
          <w:b/>
          <w:color w:val="000000"/>
          <w:sz w:val="24"/>
          <w:vertAlign w:val="superscript"/>
          <w:lang w:eastAsia="en-US"/>
        </w:rPr>
        <w:t>2</w:t>
      </w:r>
      <w:r w:rsidRPr="00935BF1">
        <w:rPr>
          <w:rFonts w:eastAsia="Calibri"/>
          <w:color w:val="000000"/>
          <w:sz w:val="24"/>
          <w:lang w:eastAsia="en-US"/>
        </w:rPr>
        <w:t>(увеличение на 5,5 тыс. м</w:t>
      </w:r>
      <w:r w:rsidRPr="00935BF1">
        <w:rPr>
          <w:rFonts w:eastAsia="Calibri"/>
          <w:color w:val="000000"/>
          <w:sz w:val="24"/>
          <w:vertAlign w:val="superscript"/>
          <w:lang w:eastAsia="en-US"/>
        </w:rPr>
        <w:t>2</w:t>
      </w:r>
      <w:r w:rsidRPr="00935BF1">
        <w:rPr>
          <w:rFonts w:eastAsia="Calibri"/>
          <w:color w:val="000000"/>
          <w:sz w:val="24"/>
          <w:lang w:eastAsia="en-US"/>
        </w:rPr>
        <w:t xml:space="preserve"> за счет р</w:t>
      </w:r>
      <w:r>
        <w:rPr>
          <w:rFonts w:eastAsia="Calibri"/>
          <w:color w:val="000000"/>
          <w:sz w:val="24"/>
          <w:lang w:eastAsia="en-US"/>
        </w:rPr>
        <w:t xml:space="preserve">азмещения </w:t>
      </w:r>
      <w:r w:rsidR="004F038C">
        <w:rPr>
          <w:rFonts w:eastAsia="Calibri"/>
          <w:color w:val="000000"/>
          <w:sz w:val="24"/>
          <w:lang w:eastAsia="en-US"/>
        </w:rPr>
        <w:t>физкультурно-оздоровительного комплекса;</w:t>
      </w:r>
    </w:p>
    <w:p w:rsidR="00935BF1" w:rsidRPr="00935BF1" w:rsidRDefault="00935BF1" w:rsidP="00935BF1">
      <w:pPr>
        <w:contextualSpacing/>
        <w:jc w:val="both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- о</w:t>
      </w:r>
      <w:r w:rsidRPr="00935BF1">
        <w:rPr>
          <w:rFonts w:eastAsia="Calibri"/>
          <w:color w:val="000000"/>
          <w:sz w:val="24"/>
          <w:lang w:eastAsia="en-US"/>
        </w:rPr>
        <w:t xml:space="preserve">бщая площадь </w:t>
      </w:r>
      <w:r w:rsidRPr="00935BF1">
        <w:rPr>
          <w:rFonts w:eastAsia="Calibri"/>
          <w:b/>
          <w:color w:val="000000"/>
          <w:sz w:val="24"/>
          <w:lang w:eastAsia="en-US"/>
        </w:rPr>
        <w:t>производственных объектов</w:t>
      </w:r>
      <w:r w:rsidRPr="00935BF1">
        <w:rPr>
          <w:rFonts w:eastAsia="Calibri"/>
          <w:color w:val="000000"/>
          <w:sz w:val="24"/>
          <w:lang w:eastAsia="en-US"/>
        </w:rPr>
        <w:t xml:space="preserve"> составит </w:t>
      </w:r>
      <w:r w:rsidRPr="00935BF1">
        <w:rPr>
          <w:rFonts w:eastAsia="Calibri"/>
          <w:b/>
          <w:color w:val="000000"/>
          <w:sz w:val="24"/>
          <w:lang w:eastAsia="en-US"/>
        </w:rPr>
        <w:t>1,7 тыс. м</w:t>
      </w:r>
      <w:r w:rsidRPr="00935BF1">
        <w:rPr>
          <w:rFonts w:eastAsia="Calibri"/>
          <w:b/>
          <w:color w:val="000000"/>
          <w:sz w:val="24"/>
          <w:vertAlign w:val="superscript"/>
          <w:lang w:eastAsia="en-US"/>
        </w:rPr>
        <w:t>2</w:t>
      </w:r>
      <w:r w:rsidRPr="00935BF1">
        <w:rPr>
          <w:rFonts w:eastAsia="Calibri"/>
          <w:color w:val="000000"/>
          <w:sz w:val="24"/>
          <w:lang w:eastAsia="en-US"/>
        </w:rPr>
        <w:t xml:space="preserve"> (</w:t>
      </w:r>
      <w:r w:rsidRPr="00935BF1">
        <w:rPr>
          <w:rFonts w:eastAsia="Calibri"/>
          <w:bCs/>
          <w:color w:val="000000"/>
          <w:sz w:val="24"/>
          <w:lang w:eastAsia="en-US"/>
        </w:rPr>
        <w:t xml:space="preserve">увеличение на 0,3 </w:t>
      </w:r>
      <w:r w:rsidRPr="00935BF1">
        <w:rPr>
          <w:rFonts w:eastAsia="Calibri"/>
          <w:color w:val="000000"/>
          <w:sz w:val="24"/>
          <w:lang w:eastAsia="en-US"/>
        </w:rPr>
        <w:t>тыс. м</w:t>
      </w:r>
      <w:r w:rsidRPr="00935BF1">
        <w:rPr>
          <w:rFonts w:eastAsia="Calibri"/>
          <w:color w:val="000000"/>
          <w:sz w:val="24"/>
          <w:vertAlign w:val="superscript"/>
          <w:lang w:eastAsia="en-US"/>
        </w:rPr>
        <w:t>2</w:t>
      </w:r>
      <w:r w:rsidRPr="00935BF1">
        <w:rPr>
          <w:rFonts w:eastAsia="Calibri"/>
          <w:color w:val="000000"/>
          <w:sz w:val="24"/>
          <w:lang w:eastAsia="en-US"/>
        </w:rPr>
        <w:t xml:space="preserve"> за счет </w:t>
      </w:r>
      <w:proofErr w:type="gramStart"/>
      <w:r w:rsidRPr="00935BF1">
        <w:rPr>
          <w:rFonts w:eastAsia="Calibri"/>
          <w:color w:val="000000"/>
          <w:sz w:val="24"/>
          <w:lang w:eastAsia="en-US"/>
        </w:rPr>
        <w:t>организации  подстанции</w:t>
      </w:r>
      <w:proofErr w:type="gramEnd"/>
      <w:r w:rsidRPr="00935BF1">
        <w:rPr>
          <w:rFonts w:eastAsia="Calibri"/>
          <w:color w:val="000000"/>
          <w:sz w:val="24"/>
          <w:lang w:eastAsia="en-US"/>
        </w:rPr>
        <w:t xml:space="preserve"> закрытого типа </w:t>
      </w:r>
      <w:r>
        <w:rPr>
          <w:rFonts w:eastAsia="Calibri"/>
          <w:color w:val="000000"/>
          <w:sz w:val="24"/>
          <w:lang w:eastAsia="en-US"/>
        </w:rPr>
        <w:t>«</w:t>
      </w:r>
      <w:proofErr w:type="spellStart"/>
      <w:r>
        <w:rPr>
          <w:rFonts w:eastAsia="Calibri"/>
          <w:color w:val="000000"/>
          <w:sz w:val="24"/>
          <w:lang w:eastAsia="en-US"/>
        </w:rPr>
        <w:t>Сторожевская</w:t>
      </w:r>
      <w:proofErr w:type="spellEnd"/>
      <w:r>
        <w:rPr>
          <w:rFonts w:eastAsia="Calibri"/>
          <w:color w:val="000000"/>
          <w:sz w:val="24"/>
          <w:lang w:eastAsia="en-US"/>
        </w:rPr>
        <w:t>»</w:t>
      </w:r>
      <w:r w:rsidR="004F038C">
        <w:rPr>
          <w:rFonts w:eastAsia="Calibri"/>
          <w:color w:val="000000"/>
          <w:sz w:val="24"/>
          <w:lang w:eastAsia="en-US"/>
        </w:rPr>
        <w:t>)</w:t>
      </w:r>
      <w:r w:rsidR="004F038C">
        <w:rPr>
          <w:rFonts w:eastAsia="Calibri"/>
          <w:bCs/>
          <w:color w:val="000000"/>
          <w:sz w:val="24"/>
          <w:lang w:eastAsia="en-US"/>
        </w:rPr>
        <w:t>;</w:t>
      </w:r>
    </w:p>
    <w:p w:rsidR="00935BF1" w:rsidRPr="00935BF1" w:rsidRDefault="00D8634E" w:rsidP="00935BF1">
      <w:pPr>
        <w:contextualSpacing/>
        <w:jc w:val="both"/>
        <w:rPr>
          <w:rFonts w:eastAsia="Calibri"/>
          <w:bCs/>
          <w:color w:val="000000"/>
          <w:sz w:val="24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t xml:space="preserve">- </w:t>
      </w:r>
      <w:r w:rsidR="00935BF1">
        <w:rPr>
          <w:rFonts w:eastAsia="Calibri"/>
          <w:bCs/>
          <w:color w:val="000000"/>
          <w:sz w:val="24"/>
          <w:lang w:eastAsia="en-US"/>
        </w:rPr>
        <w:t>о</w:t>
      </w:r>
      <w:r w:rsidR="00935BF1" w:rsidRPr="00935BF1">
        <w:rPr>
          <w:rFonts w:eastAsia="Calibri"/>
          <w:bCs/>
          <w:color w:val="000000"/>
          <w:sz w:val="24"/>
          <w:lang w:eastAsia="en-US"/>
        </w:rPr>
        <w:t xml:space="preserve">бщая численность </w:t>
      </w:r>
      <w:r w:rsidR="00935BF1" w:rsidRPr="00935BF1">
        <w:rPr>
          <w:rFonts w:eastAsia="Calibri"/>
          <w:b/>
          <w:bCs/>
          <w:color w:val="000000"/>
          <w:sz w:val="24"/>
          <w:lang w:eastAsia="en-US"/>
        </w:rPr>
        <w:t>работающих</w:t>
      </w:r>
      <w:r w:rsidR="00935BF1" w:rsidRPr="00935BF1">
        <w:rPr>
          <w:rFonts w:eastAsia="Calibri"/>
          <w:bCs/>
          <w:color w:val="000000"/>
          <w:sz w:val="24"/>
          <w:lang w:eastAsia="en-US"/>
        </w:rPr>
        <w:t xml:space="preserve"> на общественных объектах в границах проектирования составит </w:t>
      </w:r>
      <w:r w:rsidR="00935BF1" w:rsidRPr="00935BF1">
        <w:rPr>
          <w:rFonts w:eastAsia="Calibri"/>
          <w:b/>
          <w:bCs/>
          <w:color w:val="000000"/>
          <w:sz w:val="24"/>
          <w:lang w:eastAsia="en-US"/>
        </w:rPr>
        <w:t>0,4 тыс. чел.</w:t>
      </w:r>
      <w:r w:rsidR="004F038C">
        <w:rPr>
          <w:rFonts w:eastAsia="Calibri"/>
          <w:bCs/>
          <w:color w:val="000000"/>
          <w:sz w:val="24"/>
          <w:lang w:eastAsia="en-US"/>
        </w:rPr>
        <w:t xml:space="preserve"> (увеличится на 0,1 тыс. чел.).</w:t>
      </w:r>
    </w:p>
    <w:p w:rsidR="00BA5914" w:rsidRDefault="000A4937" w:rsidP="006B3439">
      <w:pPr>
        <w:ind w:firstLine="567"/>
        <w:jc w:val="both"/>
        <w:rPr>
          <w:b/>
          <w:szCs w:val="28"/>
        </w:rPr>
      </w:pPr>
      <w:r>
        <w:rPr>
          <w:sz w:val="24"/>
        </w:rPr>
        <w:t>Основные параметры участков перспективного освоения, мероприятия по реконструкции</w:t>
      </w:r>
      <w:r w:rsidR="00F31A22">
        <w:rPr>
          <w:sz w:val="24"/>
        </w:rPr>
        <w:t xml:space="preserve"> и</w:t>
      </w:r>
      <w:r>
        <w:rPr>
          <w:sz w:val="24"/>
        </w:rPr>
        <w:t xml:space="preserve"> формы освоения представлены далее в таблицах. </w:t>
      </w:r>
    </w:p>
    <w:p w:rsidR="00BA5914" w:rsidRDefault="00BA5914" w:rsidP="00BD32F7">
      <w:pPr>
        <w:pStyle w:val="a9"/>
        <w:spacing w:after="240"/>
        <w:ind w:left="0"/>
        <w:jc w:val="center"/>
        <w:rPr>
          <w:b/>
          <w:sz w:val="28"/>
          <w:szCs w:val="28"/>
        </w:rPr>
        <w:sectPr w:rsidR="00BA5914" w:rsidSect="00AF1133">
          <w:headerReference w:type="default" r:id="rId7"/>
          <w:pgSz w:w="11906" w:h="16838"/>
          <w:pgMar w:top="851" w:right="567" w:bottom="851" w:left="1418" w:header="283" w:footer="283" w:gutter="0"/>
          <w:cols w:space="708"/>
          <w:docGrid w:linePitch="360"/>
        </w:sectPr>
      </w:pPr>
    </w:p>
    <w:p w:rsidR="00BA5914" w:rsidRPr="002E54DC" w:rsidRDefault="00BA5914" w:rsidP="00BA5914">
      <w:pPr>
        <w:jc w:val="center"/>
        <w:rPr>
          <w:b/>
          <w:sz w:val="24"/>
        </w:rPr>
      </w:pPr>
      <w:r w:rsidRPr="00216918">
        <w:rPr>
          <w:b/>
          <w:sz w:val="24"/>
          <w:highlight w:val="yellow"/>
        </w:rPr>
        <w:lastRenderedPageBreak/>
        <w:t>Основные параметры участков перспективного освоения</w:t>
      </w:r>
    </w:p>
    <w:tbl>
      <w:tblPr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992"/>
        <w:gridCol w:w="1038"/>
        <w:gridCol w:w="960"/>
        <w:gridCol w:w="960"/>
        <w:gridCol w:w="1011"/>
        <w:gridCol w:w="992"/>
        <w:gridCol w:w="992"/>
        <w:gridCol w:w="851"/>
        <w:gridCol w:w="992"/>
        <w:gridCol w:w="1701"/>
        <w:gridCol w:w="709"/>
      </w:tblGrid>
      <w:tr w:rsidR="00BA5914" w:rsidRPr="002E54DC" w:rsidTr="00AF3486">
        <w:trPr>
          <w:trHeight w:val="37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2E54DC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 xml:space="preserve">№ по </w:t>
            </w:r>
            <w:proofErr w:type="spellStart"/>
            <w:r w:rsidRPr="002E54DC">
              <w:rPr>
                <w:color w:val="000000"/>
                <w:sz w:val="24"/>
              </w:rPr>
              <w:t>экспл</w:t>
            </w:r>
            <w:proofErr w:type="spellEnd"/>
            <w:r w:rsidRPr="002E54DC">
              <w:rPr>
                <w:color w:val="000000"/>
                <w:sz w:val="24"/>
              </w:rPr>
              <w:t>. ДП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2E54DC">
              <w:rPr>
                <w:color w:val="000000"/>
                <w:sz w:val="24"/>
              </w:rPr>
              <w:t>Подзона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Тип застройки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Площадь участка, га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2E54DC">
              <w:rPr>
                <w:color w:val="000000"/>
                <w:sz w:val="24"/>
              </w:rPr>
              <w:t>Кин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 xml:space="preserve">Общая площадь </w:t>
            </w:r>
            <w:proofErr w:type="spellStart"/>
            <w:r w:rsidRPr="002E54DC">
              <w:rPr>
                <w:color w:val="000000"/>
                <w:sz w:val="24"/>
              </w:rPr>
              <w:t>зданий,тыс</w:t>
            </w:r>
            <w:proofErr w:type="spellEnd"/>
            <w:r w:rsidRPr="002E54DC">
              <w:rPr>
                <w:color w:val="000000"/>
                <w:sz w:val="24"/>
              </w:rPr>
              <w:t>. м</w:t>
            </w:r>
            <w:r w:rsidRPr="002E54DC">
              <w:rPr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Численность работающих,</w:t>
            </w:r>
          </w:p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 xml:space="preserve">Количество </w:t>
            </w:r>
            <w:proofErr w:type="spellStart"/>
            <w:r w:rsidRPr="002E54DC">
              <w:rPr>
                <w:color w:val="000000"/>
                <w:sz w:val="24"/>
              </w:rPr>
              <w:t>машино</w:t>
            </w:r>
            <w:proofErr w:type="spellEnd"/>
            <w:r w:rsidRPr="002E54DC">
              <w:rPr>
                <w:color w:val="000000"/>
                <w:sz w:val="24"/>
              </w:rPr>
              <w:t>-мест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2E54DC">
              <w:rPr>
                <w:color w:val="000000"/>
                <w:sz w:val="24"/>
              </w:rPr>
              <w:t>Застроенность</w:t>
            </w:r>
            <w:proofErr w:type="spellEnd"/>
            <w:r w:rsidRPr="002E54DC">
              <w:rPr>
                <w:color w:val="000000"/>
                <w:sz w:val="24"/>
              </w:rPr>
              <w:t>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Поверхность с твердым покрытием,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2E54DC">
              <w:rPr>
                <w:color w:val="000000"/>
                <w:sz w:val="24"/>
              </w:rPr>
              <w:t>Озелененность</w:t>
            </w:r>
            <w:proofErr w:type="spellEnd"/>
            <w:r w:rsidRPr="002E54DC">
              <w:rPr>
                <w:color w:val="000000"/>
                <w:sz w:val="24"/>
              </w:rPr>
              <w:t>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Этап реализации</w:t>
            </w:r>
          </w:p>
        </w:tc>
      </w:tr>
      <w:tr w:rsidR="00BA5914" w:rsidRPr="002E54DC" w:rsidTr="002E54DC">
        <w:trPr>
          <w:trHeight w:val="1602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BA5914" w:rsidRPr="002E54DC" w:rsidTr="002E54DC">
        <w:trPr>
          <w:trHeight w:val="136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13</w:t>
            </w:r>
          </w:p>
        </w:tc>
      </w:tr>
      <w:tr w:rsidR="00BA5914" w:rsidRPr="002E54DC" w:rsidTr="002E54DC">
        <w:trPr>
          <w:trHeight w:val="13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Подстанция "</w:t>
            </w:r>
            <w:proofErr w:type="spellStart"/>
            <w:r w:rsidRPr="002E54DC">
              <w:rPr>
                <w:color w:val="000000"/>
                <w:sz w:val="24"/>
              </w:rPr>
              <w:t>Сторожевская</w:t>
            </w:r>
            <w:proofErr w:type="spellEnd"/>
            <w:r w:rsidRPr="002E54DC">
              <w:rPr>
                <w:color w:val="000000"/>
                <w:sz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ЛР-1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proofErr w:type="spellStart"/>
            <w:r w:rsidRPr="002E54DC">
              <w:rPr>
                <w:color w:val="000000"/>
                <w:sz w:val="24"/>
              </w:rPr>
              <w:t>Инж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не регламентируется ПДП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  <w:lang w:val="en-US"/>
              </w:rPr>
            </w:pPr>
            <w:r w:rsidRPr="002E54DC">
              <w:rPr>
                <w:color w:val="000000"/>
                <w:sz w:val="24"/>
              </w:rPr>
              <w:t>I</w:t>
            </w:r>
            <w:r w:rsidRPr="002E54DC">
              <w:rPr>
                <w:color w:val="000000"/>
                <w:sz w:val="24"/>
                <w:lang w:val="en-US"/>
              </w:rPr>
              <w:t>I</w:t>
            </w:r>
          </w:p>
        </w:tc>
      </w:tr>
      <w:tr w:rsidR="00BA5914" w:rsidRPr="002E54DC" w:rsidTr="002E54DC">
        <w:trPr>
          <w:trHeight w:val="839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Перспективный участок для размещения объекта общественного назначения (физкультурно-оздоровительный комплекс)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ЛР-1'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Осп-с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0,5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до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до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не менее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  <w:lang w:val="en-US"/>
              </w:rPr>
              <w:t>I</w:t>
            </w:r>
          </w:p>
        </w:tc>
      </w:tr>
    </w:tbl>
    <w:p w:rsidR="00BA5914" w:rsidRPr="002E54DC" w:rsidRDefault="00BA5914" w:rsidP="00BA5914">
      <w:pPr>
        <w:jc w:val="center"/>
        <w:rPr>
          <w:b/>
          <w:sz w:val="24"/>
        </w:rPr>
      </w:pPr>
      <w:r w:rsidRPr="00216918">
        <w:rPr>
          <w:b/>
          <w:sz w:val="24"/>
          <w:highlight w:val="yellow"/>
        </w:rPr>
        <w:t xml:space="preserve">Мероприятия по реконструкции и формы освоения </w:t>
      </w:r>
      <w:r w:rsidR="00F31A22" w:rsidRPr="00216918">
        <w:rPr>
          <w:sz w:val="24"/>
          <w:highlight w:val="yellow"/>
        </w:rPr>
        <w:t>(Т-трансформация, Р-реконструкция, С-сохранение)</w:t>
      </w:r>
    </w:p>
    <w:tbl>
      <w:tblPr>
        <w:tblW w:w="15744" w:type="dxa"/>
        <w:jc w:val="center"/>
        <w:tblLook w:val="04A0" w:firstRow="1" w:lastRow="0" w:firstColumn="1" w:lastColumn="0" w:noHBand="0" w:noVBand="1"/>
      </w:tblPr>
      <w:tblGrid>
        <w:gridCol w:w="670"/>
        <w:gridCol w:w="4859"/>
        <w:gridCol w:w="587"/>
        <w:gridCol w:w="3180"/>
        <w:gridCol w:w="5811"/>
        <w:gridCol w:w="637"/>
      </w:tblGrid>
      <w:tr w:rsidR="002E54DC" w:rsidRPr="002E54DC" w:rsidTr="002E54DC">
        <w:trPr>
          <w:trHeight w:val="37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 xml:space="preserve">№ по </w:t>
            </w:r>
            <w:proofErr w:type="spellStart"/>
            <w:r w:rsidRPr="002E54DC">
              <w:rPr>
                <w:color w:val="000000"/>
                <w:sz w:val="24"/>
              </w:rPr>
              <w:t>экспл</w:t>
            </w:r>
            <w:proofErr w:type="spellEnd"/>
            <w:r w:rsidRPr="002E54DC">
              <w:rPr>
                <w:color w:val="000000"/>
                <w:sz w:val="24"/>
              </w:rPr>
              <w:t>. ДП</w:t>
            </w:r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Наименование объекта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Форма освоения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Мероприятия по реконструкции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Примечания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Этап реализации</w:t>
            </w:r>
          </w:p>
        </w:tc>
      </w:tr>
      <w:tr w:rsidR="002E54DC" w:rsidRPr="002E54DC" w:rsidTr="002E54DC">
        <w:trPr>
          <w:trHeight w:val="887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</w:tr>
      <w:tr w:rsidR="002E54DC" w:rsidRPr="002E54DC" w:rsidTr="002E54DC">
        <w:trPr>
          <w:trHeight w:val="26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6</w:t>
            </w:r>
          </w:p>
        </w:tc>
      </w:tr>
      <w:tr w:rsidR="002E54DC" w:rsidRPr="002E54DC" w:rsidTr="002E54DC">
        <w:trPr>
          <w:trHeight w:val="407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парк Дружбы народов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комплексная реконструкция парка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II</w:t>
            </w:r>
          </w:p>
        </w:tc>
      </w:tr>
      <w:tr w:rsidR="002E54DC" w:rsidRPr="002E54DC" w:rsidTr="002E54DC">
        <w:trPr>
          <w:trHeight w:val="1008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Подстанция "</w:t>
            </w:r>
            <w:proofErr w:type="spellStart"/>
            <w:r w:rsidRPr="002E54DC">
              <w:rPr>
                <w:color w:val="000000"/>
                <w:sz w:val="24"/>
              </w:rPr>
              <w:t>Сторожевская</w:t>
            </w:r>
            <w:proofErr w:type="spellEnd"/>
            <w:r w:rsidRPr="002E54DC">
              <w:rPr>
                <w:color w:val="000000"/>
                <w:sz w:val="24"/>
              </w:rPr>
              <w:t>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новое строительство</w:t>
            </w:r>
          </w:p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подстанции закрытого типа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сопровождается пересадкой 36 деревьев;</w:t>
            </w:r>
          </w:p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 xml:space="preserve">высвобождаемый участок после демонтажа старой подстанции трансформируется в ландшафтно-рекреационную </w:t>
            </w:r>
            <w:proofErr w:type="spellStart"/>
            <w:r w:rsidRPr="002E54DC">
              <w:rPr>
                <w:color w:val="000000"/>
                <w:sz w:val="24"/>
              </w:rPr>
              <w:t>территорию;компенсационные</w:t>
            </w:r>
            <w:proofErr w:type="spellEnd"/>
            <w:r w:rsidRPr="002E54DC">
              <w:rPr>
                <w:color w:val="000000"/>
                <w:sz w:val="24"/>
              </w:rPr>
              <w:t xml:space="preserve"> посадки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II</w:t>
            </w:r>
          </w:p>
        </w:tc>
      </w:tr>
      <w:tr w:rsidR="002E54DC" w:rsidRPr="002E54DC" w:rsidTr="002E54DC">
        <w:trPr>
          <w:trHeight w:val="886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4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Перспективный участок для размещения объекта общественного назначени</w:t>
            </w:r>
            <w:r w:rsidR="002E54DC">
              <w:rPr>
                <w:color w:val="000000"/>
                <w:sz w:val="24"/>
              </w:rPr>
              <w:t xml:space="preserve">я (физкультурно-оздоровительный </w:t>
            </w:r>
            <w:r w:rsidRPr="002E54DC">
              <w:rPr>
                <w:color w:val="000000"/>
                <w:sz w:val="24"/>
              </w:rPr>
              <w:t>комплекс)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новое строительства на сносе существующей застройки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предлагается осуществить строительство объекта на платформе, возведенной</w:t>
            </w:r>
            <w:r w:rsidR="002E54DC">
              <w:rPr>
                <w:color w:val="000000"/>
                <w:sz w:val="24"/>
              </w:rPr>
              <w:t xml:space="preserve"> на опорах  над </w:t>
            </w:r>
            <w:r w:rsidRPr="002E54DC">
              <w:rPr>
                <w:color w:val="000000"/>
                <w:sz w:val="24"/>
              </w:rPr>
              <w:t>существующей автостоянкой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I</w:t>
            </w:r>
          </w:p>
        </w:tc>
      </w:tr>
      <w:tr w:rsidR="002E54DC" w:rsidRPr="002E54DC" w:rsidTr="002E54DC">
        <w:trPr>
          <w:trHeight w:val="332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Ресторан-пивоварня "Друзья"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сохранение существующих параметров использования территории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E54DC">
              <w:rPr>
                <w:rFonts w:ascii="Calibri" w:hAnsi="Calibri" w:cs="Calibri"/>
                <w:color w:val="000000"/>
                <w:sz w:val="24"/>
              </w:rPr>
              <w:t>-</w:t>
            </w:r>
          </w:p>
        </w:tc>
      </w:tr>
      <w:tr w:rsidR="002E54DC" w:rsidRPr="002E54DC" w:rsidTr="002E54DC">
        <w:trPr>
          <w:trHeight w:val="198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КНС (КУПП "</w:t>
            </w:r>
            <w:proofErr w:type="spellStart"/>
            <w:r w:rsidRPr="002E54DC">
              <w:rPr>
                <w:color w:val="000000"/>
                <w:sz w:val="24"/>
              </w:rPr>
              <w:t>Минскводоканал</w:t>
            </w:r>
            <w:proofErr w:type="spellEnd"/>
            <w:r w:rsidRPr="002E54DC">
              <w:rPr>
                <w:color w:val="000000"/>
                <w:sz w:val="24"/>
              </w:rPr>
              <w:t>")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2E54DC" w:rsidP="002E54DC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E54DC">
              <w:rPr>
                <w:rFonts w:ascii="Calibri" w:hAnsi="Calibri" w:cs="Calibri"/>
                <w:color w:val="000000"/>
                <w:sz w:val="24"/>
              </w:rPr>
              <w:t>-</w:t>
            </w:r>
          </w:p>
        </w:tc>
      </w:tr>
      <w:tr w:rsidR="002E54DC" w:rsidRPr="002E54DC" w:rsidTr="002E54DC">
        <w:trPr>
          <w:trHeight w:val="348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ТП (УП МГИ "</w:t>
            </w:r>
            <w:proofErr w:type="spellStart"/>
            <w:r w:rsidRPr="002E54DC">
              <w:rPr>
                <w:color w:val="000000"/>
                <w:sz w:val="24"/>
              </w:rPr>
              <w:t>Мингорсвет</w:t>
            </w:r>
            <w:proofErr w:type="spellEnd"/>
            <w:r w:rsidRPr="002E54DC">
              <w:rPr>
                <w:color w:val="000000"/>
                <w:sz w:val="24"/>
              </w:rPr>
              <w:t>")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С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2E54DC">
              <w:rPr>
                <w:color w:val="000000"/>
                <w:sz w:val="24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2E54DC" w:rsidP="002E54DC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914" w:rsidRPr="002E54DC" w:rsidRDefault="00BA5914" w:rsidP="00AF3486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2E54DC">
              <w:rPr>
                <w:rFonts w:ascii="Calibri" w:hAnsi="Calibri" w:cs="Calibri"/>
                <w:color w:val="000000"/>
                <w:sz w:val="24"/>
              </w:rPr>
              <w:t>-</w:t>
            </w:r>
          </w:p>
        </w:tc>
      </w:tr>
    </w:tbl>
    <w:p w:rsidR="00BA5914" w:rsidRPr="002E54DC" w:rsidRDefault="00BA5914" w:rsidP="00BA5914">
      <w:pPr>
        <w:pStyle w:val="a9"/>
        <w:spacing w:after="240"/>
        <w:ind w:left="0"/>
        <w:rPr>
          <w:szCs w:val="24"/>
        </w:rPr>
        <w:sectPr w:rsidR="00BA5914" w:rsidRPr="002E54DC" w:rsidSect="00BA5914">
          <w:pgSz w:w="16838" w:h="11906" w:orient="landscape"/>
          <w:pgMar w:top="1134" w:right="851" w:bottom="284" w:left="851" w:header="284" w:footer="284" w:gutter="0"/>
          <w:cols w:space="708"/>
          <w:docGrid w:linePitch="360"/>
        </w:sectPr>
      </w:pPr>
    </w:p>
    <w:p w:rsidR="00176D0C" w:rsidRPr="00176D0C" w:rsidRDefault="00176D0C" w:rsidP="0034374D">
      <w:pPr>
        <w:spacing w:line="276" w:lineRule="auto"/>
        <w:ind w:firstLine="0"/>
        <w:jc w:val="center"/>
        <w:rPr>
          <w:b/>
          <w:sz w:val="24"/>
        </w:rPr>
      </w:pPr>
      <w:r w:rsidRPr="00216918">
        <w:rPr>
          <w:b/>
          <w:bCs/>
          <w:iCs/>
          <w:sz w:val="24"/>
          <w:highlight w:val="yellow"/>
        </w:rPr>
        <w:lastRenderedPageBreak/>
        <w:t xml:space="preserve">Показатели нормативной и фактической </w:t>
      </w:r>
      <w:proofErr w:type="spellStart"/>
      <w:r w:rsidRPr="00216918">
        <w:rPr>
          <w:b/>
          <w:bCs/>
          <w:iCs/>
          <w:sz w:val="24"/>
          <w:highlight w:val="yellow"/>
        </w:rPr>
        <w:t>застроенности</w:t>
      </w:r>
      <w:r w:rsidRPr="00216918">
        <w:rPr>
          <w:b/>
          <w:sz w:val="24"/>
          <w:highlight w:val="yellow"/>
        </w:rPr>
        <w:t>территорий</w:t>
      </w:r>
      <w:proofErr w:type="spellEnd"/>
      <w:r w:rsidRPr="00216918">
        <w:rPr>
          <w:b/>
          <w:sz w:val="24"/>
          <w:highlight w:val="yellow"/>
        </w:rPr>
        <w:t xml:space="preserve"> ландшафтно-рекреационных </w:t>
      </w:r>
      <w:proofErr w:type="spellStart"/>
      <w:r w:rsidRPr="00216918">
        <w:rPr>
          <w:b/>
          <w:sz w:val="24"/>
          <w:highlight w:val="yellow"/>
        </w:rPr>
        <w:t>подзон</w:t>
      </w:r>
      <w:proofErr w:type="spellEnd"/>
    </w:p>
    <w:p w:rsidR="00176D0C" w:rsidRPr="00176D0C" w:rsidRDefault="00176D0C" w:rsidP="00176D0C">
      <w:pPr>
        <w:spacing w:line="276" w:lineRule="auto"/>
        <w:ind w:firstLine="0"/>
        <w:jc w:val="center"/>
        <w:rPr>
          <w:sz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519"/>
        <w:gridCol w:w="1784"/>
        <w:gridCol w:w="1679"/>
        <w:gridCol w:w="1752"/>
      </w:tblGrid>
      <w:tr w:rsidR="00176D0C" w:rsidRPr="00176D0C" w:rsidTr="007471F3">
        <w:trPr>
          <w:trHeight w:val="588"/>
        </w:trPr>
        <w:tc>
          <w:tcPr>
            <w:tcW w:w="60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D0C" w:rsidRPr="00176D0C" w:rsidRDefault="00176D0C" w:rsidP="007471F3">
            <w:pPr>
              <w:spacing w:line="276" w:lineRule="auto"/>
              <w:ind w:left="85" w:right="107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 </w:t>
            </w:r>
            <w:proofErr w:type="spellStart"/>
            <w:r w:rsidRPr="00176D0C">
              <w:rPr>
                <w:sz w:val="24"/>
              </w:rPr>
              <w:t>Подзона</w:t>
            </w:r>
            <w:proofErr w:type="spellEnd"/>
          </w:p>
        </w:tc>
        <w:tc>
          <w:tcPr>
            <w:tcW w:w="17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D0C" w:rsidRPr="00176D0C" w:rsidRDefault="00176D0C" w:rsidP="007471F3">
            <w:pPr>
              <w:spacing w:line="276" w:lineRule="auto"/>
              <w:ind w:left="64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 xml:space="preserve">Территории ландшафтно-рекреационных </w:t>
            </w:r>
            <w:proofErr w:type="spellStart"/>
            <w:proofErr w:type="gramStart"/>
            <w:r w:rsidRPr="00176D0C">
              <w:rPr>
                <w:sz w:val="24"/>
              </w:rPr>
              <w:t>подзон</w:t>
            </w:r>
            <w:proofErr w:type="spellEnd"/>
            <w:r w:rsidRPr="00176D0C">
              <w:rPr>
                <w:sz w:val="24"/>
              </w:rPr>
              <w:t xml:space="preserve">  и</w:t>
            </w:r>
            <w:proofErr w:type="gramEnd"/>
            <w:r w:rsidRPr="00176D0C">
              <w:rPr>
                <w:sz w:val="24"/>
              </w:rPr>
              <w:t xml:space="preserve"> специализированных общественных центров</w:t>
            </w:r>
          </w:p>
          <w:p w:rsidR="00176D0C" w:rsidRPr="00176D0C" w:rsidRDefault="00176D0C" w:rsidP="00176D0C">
            <w:pPr>
              <w:spacing w:line="276" w:lineRule="auto"/>
              <w:ind w:left="64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 xml:space="preserve"> (тип Осп)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D0C" w:rsidRPr="00176D0C" w:rsidRDefault="00176D0C" w:rsidP="007471F3">
            <w:pPr>
              <w:spacing w:line="276" w:lineRule="auto"/>
              <w:ind w:left="85" w:right="107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 xml:space="preserve">Общая территория </w:t>
            </w:r>
            <w:proofErr w:type="spellStart"/>
            <w:r w:rsidRPr="00176D0C">
              <w:rPr>
                <w:sz w:val="24"/>
              </w:rPr>
              <w:t>подзоны</w:t>
            </w:r>
            <w:proofErr w:type="spellEnd"/>
            <w:r w:rsidRPr="00176D0C">
              <w:rPr>
                <w:sz w:val="24"/>
              </w:rPr>
              <w:t>,</w:t>
            </w:r>
          </w:p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% / га</w:t>
            </w:r>
          </w:p>
        </w:tc>
        <w:tc>
          <w:tcPr>
            <w:tcW w:w="172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 xml:space="preserve">Показатели </w:t>
            </w:r>
            <w:proofErr w:type="spellStart"/>
            <w:r w:rsidRPr="00176D0C">
              <w:rPr>
                <w:sz w:val="24"/>
              </w:rPr>
              <w:t>застроенности</w:t>
            </w:r>
            <w:proofErr w:type="spellEnd"/>
          </w:p>
        </w:tc>
      </w:tr>
      <w:tr w:rsidR="00176D0C" w:rsidRPr="00176D0C" w:rsidTr="00176D0C">
        <w:trPr>
          <w:trHeight w:val="118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0C" w:rsidRPr="00176D0C" w:rsidRDefault="00176D0C" w:rsidP="007471F3">
            <w:pPr>
              <w:spacing w:after="200" w:line="276" w:lineRule="auto"/>
              <w:ind w:firstLine="0"/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0C" w:rsidRPr="00176D0C" w:rsidRDefault="00176D0C" w:rsidP="007471F3">
            <w:pPr>
              <w:spacing w:after="200" w:line="276" w:lineRule="auto"/>
              <w:ind w:firstLine="0"/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76D0C" w:rsidRPr="00176D0C" w:rsidRDefault="00176D0C" w:rsidP="007471F3">
            <w:pPr>
              <w:spacing w:line="276" w:lineRule="auto"/>
              <w:ind w:left="85" w:right="107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нормативная, % / га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left="85" w:right="107"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 xml:space="preserve">фактическая, % / га </w:t>
            </w:r>
          </w:p>
        </w:tc>
      </w:tr>
      <w:tr w:rsidR="00176D0C" w:rsidRPr="00176D0C" w:rsidTr="007471F3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ЛР-1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D0C" w:rsidRPr="00176D0C" w:rsidRDefault="00176D0C" w:rsidP="007471F3">
            <w:pPr>
              <w:spacing w:line="276" w:lineRule="auto"/>
              <w:ind w:left="64" w:firstLine="0"/>
              <w:rPr>
                <w:sz w:val="24"/>
              </w:rPr>
            </w:pPr>
            <w:r w:rsidRPr="00176D0C">
              <w:rPr>
                <w:sz w:val="24"/>
              </w:rPr>
              <w:t>Парк с высокими рекреационными нагрузками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100 / 23,7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до 7 / 1,7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5 / 1,10</w:t>
            </w:r>
          </w:p>
        </w:tc>
      </w:tr>
      <w:tr w:rsidR="00176D0C" w:rsidRPr="00176D0C" w:rsidTr="007471F3">
        <w:trPr>
          <w:trHeight w:val="240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ЛР-1'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6D0C" w:rsidRPr="00176D0C" w:rsidRDefault="00176D0C" w:rsidP="007471F3">
            <w:pPr>
              <w:spacing w:line="276" w:lineRule="auto"/>
              <w:ind w:left="64" w:firstLine="0"/>
              <w:rPr>
                <w:sz w:val="24"/>
              </w:rPr>
            </w:pPr>
            <w:r w:rsidRPr="00176D0C">
              <w:rPr>
                <w:sz w:val="24"/>
              </w:rPr>
              <w:t>Осп-</w:t>
            </w:r>
            <w:proofErr w:type="gramStart"/>
            <w:r w:rsidRPr="00176D0C">
              <w:rPr>
                <w:sz w:val="24"/>
              </w:rPr>
              <w:t xml:space="preserve">с  </w:t>
            </w:r>
            <w:r w:rsidRPr="00176D0C">
              <w:rPr>
                <w:sz w:val="24"/>
              </w:rPr>
              <w:softHyphen/>
            </w:r>
            <w:proofErr w:type="gramEnd"/>
            <w:r w:rsidRPr="00176D0C">
              <w:rPr>
                <w:sz w:val="24"/>
              </w:rPr>
              <w:t>– спортивно-рекреационный центр -</w:t>
            </w:r>
          </w:p>
          <w:p w:rsidR="00176D0C" w:rsidRPr="00176D0C" w:rsidRDefault="00176D0C" w:rsidP="007471F3">
            <w:pPr>
              <w:spacing w:line="276" w:lineRule="auto"/>
              <w:ind w:left="64" w:firstLine="0"/>
              <w:rPr>
                <w:sz w:val="24"/>
              </w:rPr>
            </w:pPr>
            <w:r w:rsidRPr="00176D0C">
              <w:rPr>
                <w:sz w:val="24"/>
              </w:rPr>
              <w:t xml:space="preserve">0,25 га, </w:t>
            </w:r>
          </w:p>
          <w:p w:rsidR="00176D0C" w:rsidRPr="00176D0C" w:rsidRDefault="00176D0C" w:rsidP="007471F3">
            <w:pPr>
              <w:spacing w:line="276" w:lineRule="auto"/>
              <w:ind w:left="64" w:firstLine="0"/>
              <w:rPr>
                <w:sz w:val="24"/>
              </w:rPr>
            </w:pPr>
            <w:r w:rsidRPr="00176D0C">
              <w:rPr>
                <w:sz w:val="24"/>
              </w:rPr>
              <w:t>Осп-р  - центр отдыха и развлечений на базе ресторана-пивоварни «Друзья» (здание ресторана с отдельно стоящей кухней) – 0,14 га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100 / 2,3</w:t>
            </w:r>
            <w:r w:rsidRPr="00176D0C">
              <w:rPr>
                <w:b/>
                <w:sz w:val="24"/>
              </w:rPr>
              <w:t>*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до 18 / 0,4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76D0C" w:rsidRPr="00176D0C" w:rsidRDefault="00176D0C" w:rsidP="007471F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176D0C">
              <w:rPr>
                <w:sz w:val="24"/>
              </w:rPr>
              <w:t>17 / 0,39</w:t>
            </w:r>
          </w:p>
        </w:tc>
      </w:tr>
    </w:tbl>
    <w:p w:rsidR="00176D0C" w:rsidRPr="00176D0C" w:rsidRDefault="00176D0C" w:rsidP="00176D0C">
      <w:pPr>
        <w:spacing w:after="240" w:line="276" w:lineRule="auto"/>
        <w:ind w:firstLine="0"/>
        <w:jc w:val="both"/>
        <w:rPr>
          <w:bCs/>
          <w:iCs/>
          <w:sz w:val="24"/>
        </w:rPr>
      </w:pPr>
      <w:r w:rsidRPr="00176D0C">
        <w:rPr>
          <w:b/>
          <w:bCs/>
          <w:iCs/>
          <w:sz w:val="24"/>
        </w:rPr>
        <w:t xml:space="preserve">* </w:t>
      </w:r>
      <w:r w:rsidRPr="00176D0C">
        <w:rPr>
          <w:bCs/>
          <w:iCs/>
          <w:sz w:val="24"/>
        </w:rPr>
        <w:t xml:space="preserve">По регламентам генерального плана г. Минска, суммарная площадь </w:t>
      </w:r>
      <w:r w:rsidRPr="00176D0C">
        <w:rPr>
          <w:bCs/>
          <w:iCs/>
          <w:sz w:val="24"/>
        </w:rPr>
        <w:br/>
        <w:t xml:space="preserve">ЛР-1' не должна превышает 7 % от площади зон типа ЛР. Площадь </w:t>
      </w:r>
      <w:proofErr w:type="spellStart"/>
      <w:r w:rsidRPr="00176D0C">
        <w:rPr>
          <w:bCs/>
          <w:iCs/>
          <w:sz w:val="24"/>
        </w:rPr>
        <w:t>подзоны</w:t>
      </w:r>
      <w:proofErr w:type="spellEnd"/>
      <w:r w:rsidRPr="00176D0C">
        <w:rPr>
          <w:bCs/>
          <w:iCs/>
          <w:sz w:val="24"/>
        </w:rPr>
        <w:t xml:space="preserve"> ЛР-1' составляет 2,3 га, территория зоны 26 ЛР - 61,0 га (в </w:t>
      </w:r>
      <w:proofErr w:type="spellStart"/>
      <w:r w:rsidRPr="00176D0C">
        <w:rPr>
          <w:bCs/>
          <w:iCs/>
          <w:sz w:val="24"/>
        </w:rPr>
        <w:t>т.ч</w:t>
      </w:r>
      <w:proofErr w:type="spellEnd"/>
      <w:r w:rsidRPr="00176D0C">
        <w:rPr>
          <w:bCs/>
          <w:iCs/>
          <w:sz w:val="24"/>
        </w:rPr>
        <w:t>. 35,0 га за границами проектирования). 2,3 / 61,0 = 3,8 %. Таким образом, регламенты соблюдаются.</w:t>
      </w:r>
    </w:p>
    <w:p w:rsidR="00176D0C" w:rsidRPr="00176D0C" w:rsidRDefault="00176D0C" w:rsidP="00176D0C">
      <w:pPr>
        <w:ind w:firstLine="851"/>
        <w:jc w:val="both"/>
        <w:rPr>
          <w:b/>
          <w:sz w:val="24"/>
        </w:rPr>
      </w:pPr>
      <w:proofErr w:type="spellStart"/>
      <w:r w:rsidRPr="00176D0C">
        <w:rPr>
          <w:sz w:val="24"/>
        </w:rPr>
        <w:t>Застроенность</w:t>
      </w:r>
      <w:proofErr w:type="spellEnd"/>
      <w:r w:rsidRPr="00176D0C">
        <w:rPr>
          <w:sz w:val="24"/>
        </w:rPr>
        <w:t xml:space="preserve"> территорий ландшафтно-рекреационных </w:t>
      </w:r>
      <w:proofErr w:type="spellStart"/>
      <w:r w:rsidRPr="00176D0C">
        <w:rPr>
          <w:sz w:val="24"/>
        </w:rPr>
        <w:t>подзон</w:t>
      </w:r>
      <w:proofErr w:type="spellEnd"/>
      <w:r w:rsidRPr="00176D0C">
        <w:rPr>
          <w:sz w:val="24"/>
        </w:rPr>
        <w:t xml:space="preserve"> соответствует регламентам генерального плана г. Минска.</w:t>
      </w: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176D0C" w:rsidRDefault="00176D0C" w:rsidP="004155F7">
      <w:pPr>
        <w:pStyle w:val="a9"/>
        <w:ind w:left="0"/>
        <w:jc w:val="center"/>
        <w:rPr>
          <w:b/>
          <w:szCs w:val="24"/>
        </w:rPr>
      </w:pPr>
    </w:p>
    <w:p w:rsidR="00A56644" w:rsidRDefault="00A56644" w:rsidP="004155F7">
      <w:pPr>
        <w:pStyle w:val="a9"/>
        <w:ind w:left="0"/>
        <w:jc w:val="center"/>
        <w:rPr>
          <w:b/>
          <w:szCs w:val="24"/>
        </w:rPr>
      </w:pPr>
    </w:p>
    <w:p w:rsidR="00BD32F7" w:rsidRPr="000D50D3" w:rsidRDefault="00BD32F7" w:rsidP="004155F7">
      <w:pPr>
        <w:pStyle w:val="a9"/>
        <w:ind w:left="0"/>
        <w:jc w:val="center"/>
        <w:rPr>
          <w:b/>
          <w:szCs w:val="24"/>
        </w:rPr>
      </w:pPr>
      <w:r w:rsidRPr="000D50D3">
        <w:rPr>
          <w:b/>
          <w:szCs w:val="24"/>
        </w:rPr>
        <w:lastRenderedPageBreak/>
        <w:t xml:space="preserve">Основные технико-экономические показатели </w:t>
      </w:r>
    </w:p>
    <w:p w:rsidR="00BD32F7" w:rsidRPr="000D50D3" w:rsidRDefault="00BD32F7" w:rsidP="00BD32F7">
      <w:pPr>
        <w:pStyle w:val="a9"/>
        <w:spacing w:after="240"/>
        <w:ind w:left="0"/>
        <w:jc w:val="center"/>
        <w:rPr>
          <w:b/>
          <w:szCs w:val="24"/>
        </w:rPr>
      </w:pPr>
      <w:r w:rsidRPr="000D50D3">
        <w:rPr>
          <w:b/>
          <w:szCs w:val="24"/>
        </w:rPr>
        <w:t>детального плана</w:t>
      </w:r>
    </w:p>
    <w:tbl>
      <w:tblPr>
        <w:tblW w:w="10208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2"/>
        <w:gridCol w:w="1276"/>
        <w:gridCol w:w="1418"/>
        <w:gridCol w:w="1417"/>
        <w:gridCol w:w="1418"/>
      </w:tblGrid>
      <w:tr w:rsidR="00BD32F7" w:rsidRPr="000D50D3" w:rsidTr="000D50D3">
        <w:trPr>
          <w:trHeight w:val="340"/>
          <w:tblHeader/>
        </w:trPr>
        <w:tc>
          <w:tcPr>
            <w:tcW w:w="567" w:type="dxa"/>
            <w:vMerge w:val="restart"/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№</w:t>
            </w:r>
          </w:p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п/п</w:t>
            </w:r>
          </w:p>
        </w:tc>
        <w:tc>
          <w:tcPr>
            <w:tcW w:w="4112" w:type="dxa"/>
            <w:vMerge w:val="restart"/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0D50D3">
              <w:rPr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/>
                <w:bCs/>
                <w:sz w:val="24"/>
              </w:rPr>
            </w:pPr>
            <w:r w:rsidRPr="000D50D3">
              <w:rPr>
                <w:b/>
                <w:bCs/>
                <w:sz w:val="24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left="-57" w:right="-57"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Значение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right="-57" w:firstLine="0"/>
              <w:jc w:val="center"/>
              <w:rPr>
                <w:b/>
                <w:bCs/>
                <w:sz w:val="24"/>
              </w:rPr>
            </w:pPr>
            <w:r w:rsidRPr="000D50D3">
              <w:rPr>
                <w:b/>
                <w:bCs/>
                <w:sz w:val="24"/>
              </w:rPr>
              <w:t xml:space="preserve">1-й этап </w:t>
            </w:r>
            <w:proofErr w:type="spellStart"/>
            <w:r w:rsidRPr="000D50D3">
              <w:rPr>
                <w:b/>
                <w:bCs/>
                <w:sz w:val="24"/>
              </w:rPr>
              <w:t>реализа-ции</w:t>
            </w:r>
            <w:proofErr w:type="spellEnd"/>
          </w:p>
        </w:tc>
      </w:tr>
      <w:tr w:rsidR="00BD32F7" w:rsidRPr="000D50D3" w:rsidTr="000D50D3">
        <w:trPr>
          <w:trHeight w:val="421"/>
          <w:tblHeader/>
        </w:trPr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4112" w:type="dxa"/>
            <w:vMerge/>
            <w:tcBorders>
              <w:bottom w:val="single" w:sz="2" w:space="0" w:color="auto"/>
            </w:tcBorders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:rsidR="00BD32F7" w:rsidRPr="000D50D3" w:rsidRDefault="00BD32F7" w:rsidP="000E1526">
            <w:pPr>
              <w:spacing w:beforeLines="50" w:before="120" w:afterLines="50" w:after="120"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left="-57" w:right="-57" w:hanging="51"/>
              <w:jc w:val="center"/>
              <w:rPr>
                <w:b/>
                <w:bCs/>
                <w:sz w:val="24"/>
              </w:rPr>
            </w:pPr>
            <w:r w:rsidRPr="000D50D3">
              <w:rPr>
                <w:b/>
                <w:bCs/>
                <w:sz w:val="24"/>
              </w:rPr>
              <w:t>Существую-</w:t>
            </w:r>
            <w:proofErr w:type="spellStart"/>
            <w:r w:rsidRPr="000D50D3">
              <w:rPr>
                <w:b/>
                <w:bCs/>
                <w:sz w:val="24"/>
              </w:rPr>
              <w:t>щее</w:t>
            </w:r>
            <w:proofErr w:type="spellEnd"/>
            <w:r w:rsidRPr="000D50D3">
              <w:rPr>
                <w:b/>
                <w:bCs/>
                <w:sz w:val="24"/>
              </w:rPr>
              <w:t xml:space="preserve"> состояние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left="-57" w:right="-57" w:firstLine="0"/>
              <w:jc w:val="center"/>
              <w:rPr>
                <w:b/>
                <w:bCs/>
                <w:sz w:val="24"/>
              </w:rPr>
            </w:pPr>
            <w:r w:rsidRPr="000D50D3">
              <w:rPr>
                <w:b/>
                <w:bCs/>
                <w:sz w:val="24"/>
              </w:rPr>
              <w:t xml:space="preserve">Проектные </w:t>
            </w:r>
            <w:proofErr w:type="spellStart"/>
            <w:r w:rsidRPr="000D50D3">
              <w:rPr>
                <w:b/>
                <w:bCs/>
                <w:sz w:val="24"/>
              </w:rPr>
              <w:t>предло-жения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left="-57" w:right="-57" w:firstLine="0"/>
              <w:jc w:val="center"/>
              <w:rPr>
                <w:bCs/>
                <w:sz w:val="24"/>
              </w:rPr>
            </w:pPr>
          </w:p>
        </w:tc>
      </w:tr>
      <w:tr w:rsidR="00BD32F7" w:rsidRPr="000D50D3" w:rsidTr="000D50D3">
        <w:trPr>
          <w:trHeight w:val="301"/>
          <w:tblHeader/>
        </w:trPr>
        <w:tc>
          <w:tcPr>
            <w:tcW w:w="567" w:type="dxa"/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</w:t>
            </w: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6</w:t>
            </w:r>
          </w:p>
        </w:tc>
      </w:tr>
      <w:tr w:rsidR="00BD32F7" w:rsidRPr="000D50D3" w:rsidTr="000D50D3">
        <w:trPr>
          <w:trHeight w:val="392"/>
        </w:trPr>
        <w:tc>
          <w:tcPr>
            <w:tcW w:w="567" w:type="dxa"/>
            <w:vMerge w:val="restart"/>
          </w:tcPr>
          <w:p w:rsidR="00BD32F7" w:rsidRPr="000D50D3" w:rsidRDefault="00BD32F7" w:rsidP="00AF3486">
            <w:pPr>
              <w:spacing w:before="120" w:line="264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1</w:t>
            </w:r>
          </w:p>
          <w:p w:rsidR="00BD32F7" w:rsidRPr="000D50D3" w:rsidRDefault="00BD32F7" w:rsidP="00AF3486">
            <w:pPr>
              <w:spacing w:line="264" w:lineRule="auto"/>
              <w:ind w:firstLine="0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Территория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64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64" w:lineRule="auto"/>
              <w:ind w:right="-108"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64" w:lineRule="auto"/>
              <w:ind w:right="-108" w:firstLine="0"/>
              <w:jc w:val="center"/>
              <w:rPr>
                <w:b/>
                <w:sz w:val="24"/>
              </w:rPr>
            </w:pPr>
          </w:p>
        </w:tc>
      </w:tr>
      <w:tr w:rsidR="00BD32F7" w:rsidRPr="000D50D3" w:rsidTr="000D50D3">
        <w:trPr>
          <w:trHeight w:val="327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 xml:space="preserve">Площадь территории в границах детального планирования 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 / %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33,0 /100,0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0D50D3">
              <w:rPr>
                <w:sz w:val="24"/>
              </w:rPr>
              <w:t>33,0 /100,0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33,0/ 100,0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b/>
                <w:sz w:val="24"/>
              </w:rPr>
              <w:t>Зона ландшафтно-рекреационных территорий 26 ЛР («Парк Дружбы народов»)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 / %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26,0 / 78,7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26,0 / 78,7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26,0 / 78,7</w:t>
            </w:r>
          </w:p>
        </w:tc>
      </w:tr>
      <w:tr w:rsidR="00BD32F7" w:rsidRPr="000D50D3" w:rsidTr="000D50D3">
        <w:trPr>
          <w:trHeight w:val="248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 xml:space="preserve">1)  </w:t>
            </w:r>
            <w:proofErr w:type="spellStart"/>
            <w:r w:rsidRPr="000D50D3">
              <w:rPr>
                <w:b/>
                <w:sz w:val="24"/>
              </w:rPr>
              <w:t>Подзона</w:t>
            </w:r>
            <w:proofErr w:type="spellEnd"/>
            <w:r w:rsidRPr="000D50D3">
              <w:rPr>
                <w:b/>
                <w:sz w:val="24"/>
              </w:rPr>
              <w:t xml:space="preserve"> ЛР-1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 / %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26,0 / 78,7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23,7 / 71,7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tabs>
                <w:tab w:val="clear" w:pos="720"/>
                <w:tab w:val="num" w:pos="602"/>
              </w:tabs>
              <w:spacing w:line="240" w:lineRule="auto"/>
              <w:ind w:leftChars="157" w:left="586" w:hangingChars="61" w:hanging="146"/>
              <w:jc w:val="both"/>
              <w:rPr>
                <w:sz w:val="24"/>
              </w:rPr>
            </w:pPr>
            <w:r w:rsidRPr="000D50D3">
              <w:rPr>
                <w:sz w:val="24"/>
              </w:rPr>
              <w:t>ландшафтно-рекреационные территории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24,5 / 74,2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23,4 / 70,8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tabs>
                <w:tab w:val="clear" w:pos="720"/>
                <w:tab w:val="num" w:pos="602"/>
              </w:tabs>
              <w:spacing w:line="240" w:lineRule="auto"/>
              <w:ind w:leftChars="158" w:left="718" w:hangingChars="115" w:hanging="276"/>
              <w:jc w:val="both"/>
              <w:rPr>
                <w:sz w:val="24"/>
              </w:rPr>
            </w:pPr>
            <w:r w:rsidRPr="000D50D3">
              <w:rPr>
                <w:sz w:val="24"/>
              </w:rPr>
              <w:t>объекты инженерной</w:t>
            </w:r>
          </w:p>
          <w:p w:rsidR="00BD32F7" w:rsidRPr="000D50D3" w:rsidRDefault="00BD32F7" w:rsidP="000D50D3">
            <w:pPr>
              <w:tabs>
                <w:tab w:val="num" w:pos="460"/>
              </w:tabs>
              <w:spacing w:line="240" w:lineRule="auto"/>
              <w:ind w:leftChars="158" w:left="586" w:hangingChars="60" w:hanging="144"/>
              <w:jc w:val="both"/>
              <w:rPr>
                <w:sz w:val="24"/>
              </w:rPr>
            </w:pPr>
            <w:r w:rsidRPr="000D50D3">
              <w:rPr>
                <w:sz w:val="24"/>
              </w:rPr>
              <w:t xml:space="preserve">   инфраструктуры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 / 1,2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0,3 / 0,9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tabs>
                <w:tab w:val="clear" w:pos="720"/>
                <w:tab w:val="num" w:pos="602"/>
              </w:tabs>
              <w:spacing w:line="240" w:lineRule="auto"/>
              <w:ind w:leftChars="157" w:left="586" w:hangingChars="61" w:hanging="146"/>
              <w:jc w:val="both"/>
              <w:rPr>
                <w:sz w:val="24"/>
              </w:rPr>
            </w:pPr>
            <w:r w:rsidRPr="000D50D3">
              <w:rPr>
                <w:sz w:val="24"/>
              </w:rPr>
              <w:t xml:space="preserve"> коммунально-обслуживающие, коммунально-складские объекты 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0,8 / 2,4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tabs>
                <w:tab w:val="num" w:pos="602"/>
              </w:tabs>
              <w:spacing w:line="240" w:lineRule="auto"/>
              <w:ind w:leftChars="159" w:left="1040" w:hangingChars="248" w:hanging="595"/>
              <w:jc w:val="both"/>
              <w:rPr>
                <w:sz w:val="24"/>
              </w:rPr>
            </w:pPr>
            <w:r w:rsidRPr="000D50D3">
              <w:rPr>
                <w:sz w:val="24"/>
              </w:rPr>
              <w:t xml:space="preserve">общественные объекты 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0,3 / 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 xml:space="preserve">2)  </w:t>
            </w:r>
            <w:proofErr w:type="spellStart"/>
            <w:r w:rsidRPr="000D50D3">
              <w:rPr>
                <w:b/>
                <w:sz w:val="24"/>
              </w:rPr>
              <w:t>Подзона</w:t>
            </w:r>
            <w:proofErr w:type="spellEnd"/>
            <w:r w:rsidRPr="000D50D3">
              <w:rPr>
                <w:b/>
                <w:sz w:val="24"/>
              </w:rPr>
              <w:t xml:space="preserve"> ЛР-1</w:t>
            </w:r>
            <w:r w:rsidRPr="000D50D3">
              <w:rPr>
                <w:b/>
                <w:sz w:val="24"/>
                <w:vertAlign w:val="superscript"/>
              </w:rPr>
              <w:t>’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га/%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2,3 / 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 xml:space="preserve">в том числе 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spacing w:line="240" w:lineRule="auto"/>
              <w:ind w:leftChars="164" w:left="591" w:hangingChars="55" w:hanging="132"/>
              <w:rPr>
                <w:sz w:val="24"/>
              </w:rPr>
            </w:pPr>
            <w:r w:rsidRPr="000D50D3">
              <w:rPr>
                <w:sz w:val="24"/>
              </w:rPr>
              <w:t>специализированные общественные центры (типы Осп-с, Осп-р)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1,7 / 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–</w:t>
            </w:r>
          </w:p>
        </w:tc>
      </w:tr>
      <w:tr w:rsidR="00BD32F7" w:rsidRPr="000D50D3" w:rsidTr="000D50D3">
        <w:trPr>
          <w:trHeight w:val="290"/>
        </w:trPr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0D50D3">
            <w:pPr>
              <w:numPr>
                <w:ilvl w:val="0"/>
                <w:numId w:val="11"/>
              </w:numPr>
              <w:tabs>
                <w:tab w:val="clear" w:pos="720"/>
                <w:tab w:val="num" w:pos="602"/>
              </w:tabs>
              <w:spacing w:line="240" w:lineRule="auto"/>
              <w:ind w:leftChars="164" w:left="589" w:hangingChars="54" w:hanging="130"/>
              <w:jc w:val="both"/>
              <w:rPr>
                <w:sz w:val="24"/>
              </w:rPr>
            </w:pPr>
            <w:r w:rsidRPr="000D50D3">
              <w:rPr>
                <w:sz w:val="24"/>
              </w:rPr>
              <w:t>ландшафтно-рекреационные территории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0,6 / 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64" w:lineRule="auto"/>
              <w:ind w:firstLine="0"/>
              <w:rPr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3) Улично-дорожная сеть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7,0 / 21,3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7,0 / 21,3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Производственная застройка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тыс. м</w:t>
            </w:r>
            <w:r w:rsidRPr="000D50D3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1,4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1,7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–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>Снос производственной застройки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1,0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Новое строительство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1,3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>Численность работающих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Средняя плотность работающих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чел./га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</w:tr>
      <w:tr w:rsidR="00BD32F7" w:rsidRPr="000D50D3" w:rsidTr="000D50D3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Общественный фонд, 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тыс. м</w:t>
            </w:r>
            <w:r w:rsidRPr="000D50D3"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4,2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9,7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9,7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Снос общественной застройки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0D50D3">
              <w:rPr>
                <w:sz w:val="24"/>
              </w:rPr>
              <w:t>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0D50D3">
              <w:rPr>
                <w:sz w:val="24"/>
              </w:rPr>
              <w:t>0,2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>Новое строительство, реконструкция, трансформация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–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5,7</w:t>
            </w:r>
          </w:p>
        </w:tc>
      </w:tr>
      <w:tr w:rsidR="00BD32F7" w:rsidRPr="000D50D3" w:rsidTr="000D50D3">
        <w:trPr>
          <w:trHeight w:val="212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rPr>
                <w:sz w:val="24"/>
              </w:rPr>
            </w:pPr>
            <w:r w:rsidRPr="000D50D3">
              <w:rPr>
                <w:sz w:val="24"/>
              </w:rPr>
              <w:t>Численность работающих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</w:t>
            </w:r>
          </w:p>
        </w:tc>
      </w:tr>
      <w:tr w:rsidR="00BD32F7" w:rsidRPr="000D50D3" w:rsidTr="000D50D3">
        <w:trPr>
          <w:trHeight w:val="2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Средняя плотность работающих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чел./га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797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32F7" w:rsidRPr="000D50D3" w:rsidRDefault="00BD32F7" w:rsidP="00AF3486">
            <w:pPr>
              <w:tabs>
                <w:tab w:val="left" w:pos="1343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217</w:t>
            </w:r>
          </w:p>
        </w:tc>
      </w:tr>
      <w:tr w:rsidR="00BD32F7" w:rsidRPr="000D50D3" w:rsidTr="000D50D3">
        <w:tc>
          <w:tcPr>
            <w:tcW w:w="567" w:type="dxa"/>
            <w:tcBorders>
              <w:top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auto"/>
            </w:tcBorders>
          </w:tcPr>
          <w:p w:rsidR="00BD32F7" w:rsidRPr="000D50D3" w:rsidRDefault="00BD32F7" w:rsidP="00AF3486">
            <w:pPr>
              <w:spacing w:line="240" w:lineRule="auto"/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0D50D3">
              <w:rPr>
                <w:b/>
                <w:bCs/>
                <w:iCs/>
                <w:sz w:val="24"/>
              </w:rPr>
              <w:t>Инженерно-транспортная инфраструктура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 w:val="restart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4.1</w:t>
            </w:r>
          </w:p>
        </w:tc>
        <w:tc>
          <w:tcPr>
            <w:tcW w:w="4112" w:type="dxa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40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Протяженность уличной сети всего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км</w:t>
            </w:r>
          </w:p>
        </w:tc>
        <w:tc>
          <w:tcPr>
            <w:tcW w:w="1418" w:type="dxa"/>
            <w:vAlign w:val="bottom"/>
          </w:tcPr>
          <w:p w:rsidR="00BD32F7" w:rsidRPr="000D50D3" w:rsidRDefault="00BD32F7" w:rsidP="00AF3486">
            <w:pPr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2,31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D32F7" w:rsidRPr="000D50D3" w:rsidRDefault="00BD32F7" w:rsidP="00AF3486">
            <w:pPr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2,31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D32F7" w:rsidRPr="000D50D3" w:rsidRDefault="00BD32F7" w:rsidP="00AF3486">
            <w:pPr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2,31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40" w:lineRule="auto"/>
              <w:ind w:firstLine="0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в том числе по категориям в соответствии с ТКП 45-3.01-116 (табл. 11.1):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BD32F7">
            <w:pPr>
              <w:pStyle w:val="a9"/>
              <w:keepNext/>
              <w:numPr>
                <w:ilvl w:val="0"/>
                <w:numId w:val="14"/>
              </w:numPr>
              <w:tabs>
                <w:tab w:val="num" w:pos="3600"/>
              </w:tabs>
              <w:ind w:left="0"/>
              <w:jc w:val="both"/>
              <w:outlineLvl w:val="4"/>
              <w:rPr>
                <w:bCs/>
                <w:iCs/>
                <w:szCs w:val="24"/>
              </w:rPr>
            </w:pPr>
            <w:r w:rsidRPr="000D50D3">
              <w:rPr>
                <w:bCs/>
                <w:iCs/>
                <w:szCs w:val="24"/>
              </w:rPr>
              <w:t xml:space="preserve">        –   городского значения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bottom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1,4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1,4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40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 xml:space="preserve">        – районного значения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 xml:space="preserve">-//- 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0,44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40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 xml:space="preserve">        – местного значения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righ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0,47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76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Автомобильные стоянки, всего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proofErr w:type="spellStart"/>
            <w:r w:rsidRPr="000D50D3">
              <w:rPr>
                <w:sz w:val="24"/>
              </w:rPr>
              <w:t>машино</w:t>
            </w:r>
            <w:proofErr w:type="spellEnd"/>
            <w:r w:rsidRPr="000D50D3">
              <w:rPr>
                <w:sz w:val="24"/>
              </w:rPr>
              <w:t>-мест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183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both"/>
              <w:rPr>
                <w:sz w:val="24"/>
              </w:rPr>
            </w:pPr>
            <w:r w:rsidRPr="000D50D3">
              <w:rPr>
                <w:sz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BD32F7" w:rsidRPr="000D50D3" w:rsidRDefault="00BD32F7" w:rsidP="00AF3486">
            <w:pPr>
              <w:spacing w:line="216" w:lineRule="auto"/>
              <w:ind w:left="-57" w:right="-57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D32F7" w:rsidRPr="000D50D3" w:rsidRDefault="00BD32F7" w:rsidP="00AF348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32F7" w:rsidRPr="000D50D3" w:rsidRDefault="00BD32F7" w:rsidP="00AF348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32F7" w:rsidRPr="000D50D3" w:rsidRDefault="00BD32F7" w:rsidP="00AF3486">
            <w:pPr>
              <w:jc w:val="center"/>
              <w:rPr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40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 xml:space="preserve">        – размещаемые за пределами</w:t>
            </w:r>
          </w:p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40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 xml:space="preserve">           детального плана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-//-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-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line="276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Автомобильные парковки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firstLine="0"/>
              <w:jc w:val="center"/>
              <w:rPr>
                <w:sz w:val="24"/>
              </w:rPr>
            </w:pPr>
            <w:proofErr w:type="spellStart"/>
            <w:r w:rsidRPr="000D50D3">
              <w:rPr>
                <w:sz w:val="24"/>
              </w:rPr>
              <w:t>машино</w:t>
            </w:r>
            <w:proofErr w:type="spellEnd"/>
            <w:r w:rsidRPr="000D50D3">
              <w:rPr>
                <w:sz w:val="24"/>
              </w:rPr>
              <w:t>-мест</w:t>
            </w:r>
          </w:p>
        </w:tc>
        <w:tc>
          <w:tcPr>
            <w:tcW w:w="1418" w:type="dxa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339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339</w:t>
            </w:r>
          </w:p>
        </w:tc>
      </w:tr>
      <w:tr w:rsidR="00BD32F7" w:rsidRPr="000D50D3" w:rsidTr="000D50D3">
        <w:tc>
          <w:tcPr>
            <w:tcW w:w="567" w:type="dxa"/>
            <w:vMerge w:val="restart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4.2</w:t>
            </w:r>
          </w:p>
        </w:tc>
        <w:tc>
          <w:tcPr>
            <w:tcW w:w="4112" w:type="dxa"/>
            <w:vAlign w:val="center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76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Общее водопотребление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3</w:t>
            </w:r>
            <w:r w:rsidRPr="000D50D3">
              <w:rPr>
                <w:sz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0,053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0,126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0,126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76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Объем сточных вод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3</w:t>
            </w:r>
            <w:r w:rsidRPr="000D50D3">
              <w:rPr>
                <w:sz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0,053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0,126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0,126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76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 xml:space="preserve">Суммарная </w:t>
            </w:r>
            <w:proofErr w:type="spellStart"/>
            <w:r w:rsidRPr="000D50D3">
              <w:rPr>
                <w:bCs/>
                <w:iCs/>
                <w:sz w:val="24"/>
              </w:rPr>
              <w:t>электронагрузка</w:t>
            </w:r>
            <w:proofErr w:type="spellEnd"/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0,74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0,74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76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Суммарное теплопотребление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2,7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5,0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40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Количество номеров (портов) телефонной связи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номеров (портов)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0,049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0,080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0,080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40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Территория, требующая инженерной подготовки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40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Количество твердых коммунальных отходов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т/год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30,0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50,0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  <w:vAlign w:val="center"/>
          </w:tcPr>
          <w:p w:rsidR="00BD32F7" w:rsidRPr="000D50D3" w:rsidRDefault="00BD32F7" w:rsidP="00BD32F7">
            <w:pPr>
              <w:keepNext/>
              <w:numPr>
                <w:ilvl w:val="1"/>
                <w:numId w:val="12"/>
              </w:numPr>
              <w:tabs>
                <w:tab w:val="num" w:pos="492"/>
                <w:tab w:val="num" w:pos="3600"/>
              </w:tabs>
              <w:spacing w:line="240" w:lineRule="auto"/>
              <w:ind w:left="492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Расход газа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тыс. м</w:t>
            </w:r>
            <w:r w:rsidRPr="000D50D3">
              <w:rPr>
                <w:sz w:val="24"/>
                <w:vertAlign w:val="superscript"/>
              </w:rPr>
              <w:t>3</w:t>
            </w:r>
            <w:r w:rsidRPr="000D50D3">
              <w:rPr>
                <w:sz w:val="24"/>
              </w:rPr>
              <w:t>/год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</w:tr>
      <w:tr w:rsidR="00BD32F7" w:rsidRPr="000D50D3" w:rsidTr="000D50D3">
        <w:tc>
          <w:tcPr>
            <w:tcW w:w="567" w:type="dxa"/>
            <w:vMerge w:val="restart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5</w:t>
            </w: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76" w:lineRule="auto"/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0D50D3">
              <w:rPr>
                <w:b/>
                <w:bCs/>
                <w:iCs/>
                <w:sz w:val="24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before="120" w:line="276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proofErr w:type="spellStart"/>
            <w:r w:rsidRPr="000D50D3">
              <w:rPr>
                <w:bCs/>
                <w:iCs/>
                <w:sz w:val="24"/>
              </w:rPr>
              <w:t>Озелененность</w:t>
            </w:r>
            <w:proofErr w:type="spellEnd"/>
            <w:r w:rsidRPr="000D50D3">
              <w:rPr>
                <w:bCs/>
                <w:iCs/>
                <w:sz w:val="24"/>
              </w:rPr>
              <w:t xml:space="preserve"> территории ЛР-1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before="120"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66,5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 xml:space="preserve">68,2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68,2</w:t>
            </w:r>
          </w:p>
        </w:tc>
      </w:tr>
      <w:tr w:rsidR="00BD32F7" w:rsidRPr="000D50D3" w:rsidTr="000D50D3">
        <w:tc>
          <w:tcPr>
            <w:tcW w:w="567" w:type="dxa"/>
            <w:vMerge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BD32F7" w:rsidRPr="000D50D3" w:rsidRDefault="00BD32F7" w:rsidP="00AF3486">
            <w:pPr>
              <w:keepNext/>
              <w:tabs>
                <w:tab w:val="num" w:pos="3600"/>
              </w:tabs>
              <w:spacing w:before="120" w:line="276" w:lineRule="auto"/>
              <w:ind w:firstLine="0"/>
              <w:jc w:val="both"/>
              <w:outlineLvl w:val="4"/>
              <w:rPr>
                <w:bCs/>
                <w:iCs/>
                <w:sz w:val="24"/>
              </w:rPr>
            </w:pPr>
            <w:r w:rsidRPr="000D50D3">
              <w:rPr>
                <w:bCs/>
                <w:iCs/>
                <w:sz w:val="24"/>
              </w:rPr>
              <w:t>Площадь санитарно-защитных зон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before="120" w:line="216" w:lineRule="auto"/>
              <w:ind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15,4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before="120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15,4</w:t>
            </w:r>
          </w:p>
        </w:tc>
      </w:tr>
      <w:tr w:rsidR="00BD32F7" w:rsidRPr="000D50D3" w:rsidTr="000D50D3">
        <w:tc>
          <w:tcPr>
            <w:tcW w:w="567" w:type="dxa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D50D3">
              <w:rPr>
                <w:b/>
                <w:sz w:val="24"/>
              </w:rPr>
              <w:t>6</w:t>
            </w:r>
          </w:p>
        </w:tc>
        <w:tc>
          <w:tcPr>
            <w:tcW w:w="4112" w:type="dxa"/>
          </w:tcPr>
          <w:p w:rsidR="00BD32F7" w:rsidRPr="000D50D3" w:rsidRDefault="00BD32F7" w:rsidP="00AF3486">
            <w:pPr>
              <w:spacing w:line="276" w:lineRule="auto"/>
              <w:ind w:firstLine="0"/>
              <w:outlineLvl w:val="4"/>
              <w:rPr>
                <w:b/>
                <w:bCs/>
                <w:iCs/>
                <w:sz w:val="24"/>
              </w:rPr>
            </w:pPr>
            <w:r w:rsidRPr="000D50D3">
              <w:rPr>
                <w:b/>
                <w:bCs/>
                <w:iCs/>
                <w:sz w:val="24"/>
              </w:rPr>
              <w:t>Охрана среды материальных недвижимых ценностей</w:t>
            </w:r>
          </w:p>
        </w:tc>
        <w:tc>
          <w:tcPr>
            <w:tcW w:w="1276" w:type="dxa"/>
            <w:vAlign w:val="center"/>
          </w:tcPr>
          <w:p w:rsidR="00BD32F7" w:rsidRPr="000D50D3" w:rsidRDefault="00BD32F7" w:rsidP="00AF3486">
            <w:pPr>
              <w:spacing w:line="216" w:lineRule="auto"/>
              <w:ind w:left="-57" w:firstLine="0"/>
              <w:jc w:val="center"/>
              <w:rPr>
                <w:sz w:val="24"/>
              </w:rPr>
            </w:pPr>
            <w:r w:rsidRPr="000D50D3">
              <w:rPr>
                <w:sz w:val="24"/>
              </w:rPr>
              <w:t>га</w:t>
            </w:r>
          </w:p>
        </w:tc>
        <w:tc>
          <w:tcPr>
            <w:tcW w:w="1418" w:type="dxa"/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D32F7" w:rsidRPr="000D50D3" w:rsidRDefault="00BD32F7" w:rsidP="00AF3486">
            <w:pPr>
              <w:spacing w:line="240" w:lineRule="auto"/>
              <w:ind w:firstLine="0"/>
              <w:jc w:val="center"/>
              <w:rPr>
                <w:bCs/>
                <w:sz w:val="24"/>
              </w:rPr>
            </w:pPr>
            <w:r w:rsidRPr="000D50D3">
              <w:rPr>
                <w:bCs/>
                <w:sz w:val="24"/>
              </w:rPr>
              <w:t>–</w:t>
            </w:r>
          </w:p>
        </w:tc>
      </w:tr>
    </w:tbl>
    <w:p w:rsidR="00C3582E" w:rsidRPr="000D50D3" w:rsidRDefault="00C3582E" w:rsidP="005219B3">
      <w:pPr>
        <w:rPr>
          <w:sz w:val="24"/>
        </w:rPr>
      </w:pPr>
    </w:p>
    <w:sectPr w:rsidR="00C3582E" w:rsidRPr="000D50D3" w:rsidSect="00AF1133">
      <w:pgSz w:w="11906" w:h="16838"/>
      <w:pgMar w:top="851" w:right="567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01" w:rsidRDefault="00232001" w:rsidP="00AF1133">
      <w:pPr>
        <w:spacing w:line="240" w:lineRule="auto"/>
      </w:pPr>
      <w:r>
        <w:separator/>
      </w:r>
    </w:p>
  </w:endnote>
  <w:endnote w:type="continuationSeparator" w:id="0">
    <w:p w:rsidR="00232001" w:rsidRDefault="00232001" w:rsidP="00AF1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01" w:rsidRDefault="00232001" w:rsidP="00AF1133">
      <w:pPr>
        <w:spacing w:line="240" w:lineRule="auto"/>
      </w:pPr>
      <w:r>
        <w:separator/>
      </w:r>
    </w:p>
  </w:footnote>
  <w:footnote w:type="continuationSeparator" w:id="0">
    <w:p w:rsidR="00232001" w:rsidRDefault="00232001" w:rsidP="00AF1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14" w:rsidRPr="00BA5914" w:rsidRDefault="00BA5914" w:rsidP="00BA591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1B5"/>
    <w:multiLevelType w:val="hybridMultilevel"/>
    <w:tmpl w:val="C5D2A4E2"/>
    <w:lvl w:ilvl="0" w:tplc="FA4E4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946943"/>
    <w:multiLevelType w:val="hybridMultilevel"/>
    <w:tmpl w:val="FEB29EFC"/>
    <w:lvl w:ilvl="0" w:tplc="FA4E4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7A2786"/>
    <w:multiLevelType w:val="hybridMultilevel"/>
    <w:tmpl w:val="0E3A44AE"/>
    <w:lvl w:ilvl="0" w:tplc="FA4E4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1022D6"/>
    <w:multiLevelType w:val="hybridMultilevel"/>
    <w:tmpl w:val="6D9A44DA"/>
    <w:lvl w:ilvl="0" w:tplc="FA4E4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8125A1"/>
    <w:multiLevelType w:val="hybridMultilevel"/>
    <w:tmpl w:val="943A23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EEF34FF"/>
    <w:multiLevelType w:val="hybridMultilevel"/>
    <w:tmpl w:val="A79698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62940"/>
    <w:multiLevelType w:val="hybridMultilevel"/>
    <w:tmpl w:val="477E423E"/>
    <w:lvl w:ilvl="0" w:tplc="E5C410C4">
      <w:start w:val="1"/>
      <w:numFmt w:val="bullet"/>
      <w:lvlText w:val="–"/>
      <w:lvlJc w:val="left"/>
      <w:pPr>
        <w:ind w:left="28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7" w15:restartNumberingAfterBreak="0">
    <w:nsid w:val="41855647"/>
    <w:multiLevelType w:val="hybridMultilevel"/>
    <w:tmpl w:val="5AE8ED12"/>
    <w:lvl w:ilvl="0" w:tplc="E000F7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DC0D6A"/>
    <w:multiLevelType w:val="hybridMultilevel"/>
    <w:tmpl w:val="BFEC5A26"/>
    <w:lvl w:ilvl="0" w:tplc="7CF08926">
      <w:start w:val="1"/>
      <w:numFmt w:val="bullet"/>
      <w:lvlText w:val="‒"/>
      <w:lvlJc w:val="left"/>
      <w:pPr>
        <w:ind w:left="145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 w15:restartNumberingAfterBreak="0">
    <w:nsid w:val="4BB94EC6"/>
    <w:multiLevelType w:val="hybridMultilevel"/>
    <w:tmpl w:val="81D07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000FB3"/>
    <w:multiLevelType w:val="hybridMultilevel"/>
    <w:tmpl w:val="AE4C1CF8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1" w15:restartNumberingAfterBreak="0">
    <w:nsid w:val="639A634C"/>
    <w:multiLevelType w:val="multilevel"/>
    <w:tmpl w:val="8B62A012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3" w:hanging="2160"/>
      </w:pPr>
      <w:rPr>
        <w:rFonts w:hint="default"/>
      </w:rPr>
    </w:lvl>
  </w:abstractNum>
  <w:abstractNum w:abstractNumId="12" w15:restartNumberingAfterBreak="0">
    <w:nsid w:val="729C08B2"/>
    <w:multiLevelType w:val="hybridMultilevel"/>
    <w:tmpl w:val="7FD69526"/>
    <w:lvl w:ilvl="0" w:tplc="A6CEB9A6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2B54AAD"/>
    <w:multiLevelType w:val="hybridMultilevel"/>
    <w:tmpl w:val="2312DD68"/>
    <w:lvl w:ilvl="0" w:tplc="E000F7B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4"/>
        <w:szCs w:val="24"/>
      </w:rPr>
    </w:lvl>
    <w:lvl w:ilvl="1" w:tplc="E000F7B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9296C"/>
    <w:multiLevelType w:val="hybridMultilevel"/>
    <w:tmpl w:val="D6FACB68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22B0F"/>
    <w:multiLevelType w:val="hybridMultilevel"/>
    <w:tmpl w:val="3EDE56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133"/>
    <w:rsid w:val="00010ED3"/>
    <w:rsid w:val="000A4937"/>
    <w:rsid w:val="000D50D3"/>
    <w:rsid w:val="000E1526"/>
    <w:rsid w:val="00132DF2"/>
    <w:rsid w:val="00176D0C"/>
    <w:rsid w:val="00216918"/>
    <w:rsid w:val="00232001"/>
    <w:rsid w:val="002E54DC"/>
    <w:rsid w:val="0032349E"/>
    <w:rsid w:val="0034374D"/>
    <w:rsid w:val="004155F7"/>
    <w:rsid w:val="004B752D"/>
    <w:rsid w:val="004F038C"/>
    <w:rsid w:val="005219B3"/>
    <w:rsid w:val="00527484"/>
    <w:rsid w:val="00531CEE"/>
    <w:rsid w:val="005826FA"/>
    <w:rsid w:val="00624EDA"/>
    <w:rsid w:val="006B3439"/>
    <w:rsid w:val="00902CAA"/>
    <w:rsid w:val="00935BF1"/>
    <w:rsid w:val="009865C5"/>
    <w:rsid w:val="009A077F"/>
    <w:rsid w:val="00A44C31"/>
    <w:rsid w:val="00A56644"/>
    <w:rsid w:val="00A91C0F"/>
    <w:rsid w:val="00AC2772"/>
    <w:rsid w:val="00AE2AAE"/>
    <w:rsid w:val="00AE46AF"/>
    <w:rsid w:val="00AF1133"/>
    <w:rsid w:val="00B23C20"/>
    <w:rsid w:val="00BA5914"/>
    <w:rsid w:val="00BD32F7"/>
    <w:rsid w:val="00C3582E"/>
    <w:rsid w:val="00D74BF5"/>
    <w:rsid w:val="00D8634E"/>
    <w:rsid w:val="00DC1D77"/>
    <w:rsid w:val="00F3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0D89"/>
  <w15:docId w15:val="{5ACC27C5-1870-4CE7-85FE-C19BE4E5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B3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19B3"/>
    <w:pPr>
      <w:keepNext/>
      <w:spacing w:line="240" w:lineRule="auto"/>
      <w:ind w:firstLine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3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133"/>
  </w:style>
  <w:style w:type="paragraph" w:styleId="a5">
    <w:name w:val="footer"/>
    <w:basedOn w:val="a"/>
    <w:link w:val="a6"/>
    <w:uiPriority w:val="99"/>
    <w:unhideWhenUsed/>
    <w:rsid w:val="00AF113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133"/>
  </w:style>
  <w:style w:type="paragraph" w:styleId="a7">
    <w:name w:val="Body Text Indent"/>
    <w:basedOn w:val="a"/>
    <w:link w:val="a8"/>
    <w:rsid w:val="005219B3"/>
    <w:pPr>
      <w:spacing w:after="120" w:line="240" w:lineRule="auto"/>
      <w:ind w:left="283" w:firstLine="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5219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9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List Paragraph"/>
    <w:basedOn w:val="a"/>
    <w:qFormat/>
    <w:rsid w:val="00AE2AAE"/>
    <w:pPr>
      <w:spacing w:line="240" w:lineRule="auto"/>
      <w:ind w:left="720" w:firstLine="0"/>
      <w:contextualSpacing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Е. В. Метлицкая</cp:lastModifiedBy>
  <cp:revision>3</cp:revision>
  <dcterms:created xsi:type="dcterms:W3CDTF">2018-04-23T13:52:00Z</dcterms:created>
  <dcterms:modified xsi:type="dcterms:W3CDTF">2018-05-10T10:19:00Z</dcterms:modified>
</cp:coreProperties>
</file>